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9BB" w:rsidRPr="00F43717" w:rsidRDefault="008379BB" w:rsidP="008379BB">
      <w:pPr>
        <w:suppressAutoHyphens w:val="0"/>
        <w:jc w:val="center"/>
        <w:rPr>
          <w:b/>
        </w:rPr>
      </w:pPr>
      <w:bookmarkStart w:id="0" w:name="_GoBack"/>
      <w:bookmarkEnd w:id="0"/>
    </w:p>
    <w:p w:rsidR="008379BB" w:rsidRPr="00F43717" w:rsidRDefault="008379BB" w:rsidP="008379BB">
      <w:pPr>
        <w:tabs>
          <w:tab w:val="left" w:pos="1170"/>
        </w:tabs>
        <w:jc w:val="center"/>
        <w:rPr>
          <w:b/>
          <w:u w:val="single"/>
        </w:rPr>
      </w:pPr>
      <w:r w:rsidRPr="00F43717">
        <w:rPr>
          <w:b/>
          <w:u w:val="single"/>
        </w:rPr>
        <w:t>Технічні, якісні та кількісні вимоги до предмета закупівлі</w:t>
      </w:r>
    </w:p>
    <w:p w:rsidR="008379BB" w:rsidRDefault="008379BB" w:rsidP="008379BB">
      <w:pPr>
        <w:tabs>
          <w:tab w:val="left" w:pos="1170"/>
        </w:tabs>
        <w:jc w:val="center"/>
        <w:rPr>
          <w:b/>
          <w:u w:val="single"/>
        </w:rPr>
      </w:pPr>
    </w:p>
    <w:p w:rsidR="008379BB" w:rsidRDefault="008379BB" w:rsidP="008379BB">
      <w:pPr>
        <w:jc w:val="center"/>
        <w:rPr>
          <w:rFonts w:eastAsia="Times New Roman"/>
          <w:b/>
          <w:bCs/>
          <w:lang w:eastAsia="uk-UA"/>
        </w:rPr>
      </w:pPr>
      <w:r w:rsidRPr="00987888">
        <w:rPr>
          <w:rFonts w:eastAsia="Times New Roman"/>
          <w:b/>
          <w:lang w:eastAsia="ru-RU"/>
        </w:rPr>
        <w:t>Назва предмета закупівлі</w:t>
      </w:r>
      <w:r w:rsidRPr="00987888">
        <w:rPr>
          <w:rFonts w:eastAsia="Times New Roman"/>
          <w:lang w:eastAsia="ru-RU"/>
        </w:rPr>
        <w:t>:</w:t>
      </w:r>
      <w:r w:rsidRPr="00987888">
        <w:rPr>
          <w:b/>
          <w:lang w:eastAsia="ru-RU"/>
        </w:rPr>
        <w:t xml:space="preserve"> </w:t>
      </w:r>
      <w:r w:rsidRPr="00E5703C">
        <w:rPr>
          <w:rFonts w:eastAsia="Times New Roman"/>
          <w:b/>
          <w:bCs/>
          <w:lang w:eastAsia="uk-UA"/>
        </w:rPr>
        <w:t xml:space="preserve">Технічне обслуговування ліфтів </w:t>
      </w:r>
    </w:p>
    <w:p w:rsidR="008379BB" w:rsidRDefault="008379BB" w:rsidP="008379BB">
      <w:pPr>
        <w:jc w:val="center"/>
        <w:rPr>
          <w:rFonts w:eastAsia="Times New Roman"/>
          <w:bCs/>
          <w:lang w:eastAsia="uk-UA"/>
        </w:rPr>
      </w:pPr>
      <w:r w:rsidRPr="00E5703C">
        <w:rPr>
          <w:rFonts w:eastAsia="Times New Roman"/>
          <w:bCs/>
          <w:lang w:eastAsia="uk-UA"/>
        </w:rPr>
        <w:t>за ДК 021:2015 - 50750000 - 7 «Послуги з технічного обслуговування ліфтів»</w:t>
      </w:r>
    </w:p>
    <w:p w:rsidR="008379BB" w:rsidRPr="00987888" w:rsidRDefault="008379BB" w:rsidP="008379BB">
      <w:pPr>
        <w:keepLines/>
        <w:autoSpaceDE w:val="0"/>
        <w:autoSpaceDN w:val="0"/>
        <w:spacing w:after="200" w:line="276" w:lineRule="auto"/>
        <w:rPr>
          <w:b/>
          <w:lang w:eastAsia="zh-CN"/>
        </w:rPr>
      </w:pPr>
      <w:r w:rsidRPr="00987888">
        <w:rPr>
          <w:rFonts w:eastAsia="Times New Roman"/>
          <w:b/>
          <w:lang w:eastAsia="ru-RU"/>
        </w:rPr>
        <w:t xml:space="preserve">Термін надання послуг: </w:t>
      </w:r>
      <w:r w:rsidRPr="00987888">
        <w:rPr>
          <w:rFonts w:eastAsia="Times New Roman"/>
          <w:u w:val="single"/>
          <w:lang w:eastAsia="ru-RU"/>
        </w:rPr>
        <w:t xml:space="preserve"> </w:t>
      </w:r>
      <w:r>
        <w:rPr>
          <w:rFonts w:eastAsia="Times New Roman"/>
          <w:u w:val="single"/>
          <w:lang w:eastAsia="ru-RU"/>
        </w:rPr>
        <w:t>31.12.2025 року(включно).</w:t>
      </w:r>
    </w:p>
    <w:p w:rsidR="008379BB" w:rsidRPr="00987888" w:rsidRDefault="008379BB" w:rsidP="008379BB">
      <w:pPr>
        <w:contextualSpacing/>
        <w:jc w:val="both"/>
        <w:rPr>
          <w:b/>
          <w:bCs/>
          <w:color w:val="000000"/>
          <w:lang w:eastAsia="zh-CN"/>
        </w:rPr>
      </w:pPr>
      <w:r w:rsidRPr="00987888">
        <w:rPr>
          <w:rFonts w:eastAsia="Times New Roman"/>
          <w:b/>
          <w:lang w:eastAsia="ru-RU"/>
        </w:rPr>
        <w:t>Місце надання послуг:</w:t>
      </w:r>
      <w:r w:rsidRPr="00987888">
        <w:rPr>
          <w:rFonts w:eastAsia="Times New Roman"/>
          <w:lang w:eastAsia="ru-RU"/>
        </w:rPr>
        <w:t xml:space="preserve"> </w:t>
      </w:r>
      <w:r>
        <w:rPr>
          <w:rFonts w:eastAsia="Times New Roman"/>
          <w:lang w:eastAsia="ru-RU"/>
        </w:rPr>
        <w:t xml:space="preserve">м. Дніпро, </w:t>
      </w:r>
      <w:proofErr w:type="spellStart"/>
      <w:r>
        <w:rPr>
          <w:rFonts w:eastAsia="Times New Roman"/>
          <w:lang w:eastAsia="ru-RU"/>
        </w:rPr>
        <w:t>вул</w:t>
      </w:r>
      <w:proofErr w:type="spellEnd"/>
      <w:r>
        <w:rPr>
          <w:rFonts w:eastAsia="Times New Roman"/>
          <w:lang w:eastAsia="ru-RU"/>
        </w:rPr>
        <w:t xml:space="preserve"> . Воскресенська,2</w:t>
      </w:r>
    </w:p>
    <w:p w:rsidR="008379BB" w:rsidRPr="00987888" w:rsidRDefault="008379BB" w:rsidP="008379BB">
      <w:pPr>
        <w:suppressAutoHyphens w:val="0"/>
        <w:ind w:left="7920"/>
        <w:jc w:val="right"/>
        <w:rPr>
          <w:rFonts w:eastAsia="Times New Roman"/>
          <w:b/>
          <w:lang w:eastAsia="ru-RU"/>
        </w:rPr>
      </w:pPr>
    </w:p>
    <w:p w:rsidR="008379BB" w:rsidRDefault="008379BB" w:rsidP="008379BB">
      <w:pPr>
        <w:spacing w:line="276" w:lineRule="auto"/>
        <w:ind w:firstLine="567"/>
        <w:jc w:val="both"/>
        <w:rPr>
          <w:rFonts w:eastAsia="Times New Roman"/>
          <w:color w:val="000000"/>
          <w:lang w:eastAsia="zh-CN"/>
        </w:rPr>
      </w:pPr>
      <w:r w:rsidRPr="00987888">
        <w:rPr>
          <w:rFonts w:eastAsia="Times New Roman"/>
          <w:color w:val="000000"/>
          <w:lang w:eastAsia="zh-CN"/>
        </w:rPr>
        <w:t>Об’єми надання послуг:</w:t>
      </w:r>
    </w:p>
    <w:p w:rsidR="008379BB" w:rsidRPr="00522178" w:rsidRDefault="008379BB" w:rsidP="008379BB">
      <w:pPr>
        <w:tabs>
          <w:tab w:val="left" w:pos="426"/>
          <w:tab w:val="left" w:pos="1276"/>
        </w:tabs>
        <w:jc w:val="center"/>
        <w:rPr>
          <w:rFonts w:eastAsia="Times New Roman"/>
          <w:b/>
        </w:rPr>
      </w:pPr>
      <w:r w:rsidRPr="00987888">
        <w:rPr>
          <w:rFonts w:eastAsia="Times New Roman"/>
          <w:lang w:eastAsia="ru-RU"/>
        </w:rPr>
        <w:t xml:space="preserve"> </w:t>
      </w:r>
      <w:r w:rsidRPr="00522178">
        <w:rPr>
          <w:rFonts w:eastAsia="Times New Roman"/>
          <w:b/>
        </w:rPr>
        <w:t>Перелік об’єктів , щодо яких надаються послуги з технічного обслуговування  ліфтів</w:t>
      </w:r>
    </w:p>
    <w:p w:rsidR="008379BB" w:rsidRPr="00522178" w:rsidRDefault="008379BB" w:rsidP="008379BB">
      <w:pPr>
        <w:tabs>
          <w:tab w:val="left" w:pos="0"/>
          <w:tab w:val="left" w:pos="993"/>
          <w:tab w:val="left" w:pos="1276"/>
        </w:tabs>
        <w:jc w:val="both"/>
        <w:rPr>
          <w:rFonts w:eastAsia="Times New Roman"/>
        </w:rPr>
      </w:pPr>
    </w:p>
    <w:tbl>
      <w:tblPr>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9"/>
        <w:gridCol w:w="1701"/>
        <w:gridCol w:w="1559"/>
        <w:gridCol w:w="709"/>
        <w:gridCol w:w="1276"/>
        <w:gridCol w:w="1417"/>
        <w:gridCol w:w="2268"/>
      </w:tblGrid>
      <w:tr w:rsidR="008379BB" w:rsidRPr="00522178" w:rsidTr="00610574">
        <w:trPr>
          <w:trHeight w:val="666"/>
        </w:trPr>
        <w:tc>
          <w:tcPr>
            <w:tcW w:w="709" w:type="dxa"/>
            <w:tcBorders>
              <w:top w:val="single" w:sz="4" w:space="0" w:color="000000"/>
              <w:left w:val="single" w:sz="4" w:space="0" w:color="000000"/>
              <w:bottom w:val="single" w:sz="4" w:space="0" w:color="000000"/>
            </w:tcBorders>
            <w:shd w:val="clear" w:color="auto" w:fill="FFFFFF"/>
            <w:vAlign w:val="center"/>
          </w:tcPr>
          <w:p w:rsidR="008379BB" w:rsidRPr="00522178" w:rsidRDefault="008379BB" w:rsidP="00610574">
            <w:pPr>
              <w:jc w:val="center"/>
              <w:rPr>
                <w:rFonts w:eastAsia="Times New Roman"/>
                <w:sz w:val="20"/>
                <w:szCs w:val="20"/>
              </w:rPr>
            </w:pPr>
            <w:r w:rsidRPr="00522178">
              <w:rPr>
                <w:rFonts w:eastAsia="Times New Roman"/>
                <w:sz w:val="20"/>
                <w:szCs w:val="20"/>
              </w:rPr>
              <w:t>№ з/п</w:t>
            </w:r>
          </w:p>
        </w:tc>
        <w:tc>
          <w:tcPr>
            <w:tcW w:w="1701" w:type="dxa"/>
            <w:tcBorders>
              <w:top w:val="single" w:sz="4" w:space="0" w:color="000000"/>
              <w:left w:val="single" w:sz="4" w:space="0" w:color="000000"/>
              <w:bottom w:val="single" w:sz="4" w:space="0" w:color="000000"/>
            </w:tcBorders>
            <w:shd w:val="clear" w:color="auto" w:fill="FFFFFF"/>
            <w:vAlign w:val="center"/>
          </w:tcPr>
          <w:p w:rsidR="008379BB" w:rsidRPr="00522178" w:rsidRDefault="008379BB" w:rsidP="00610574">
            <w:pPr>
              <w:jc w:val="center"/>
              <w:rPr>
                <w:rFonts w:eastAsia="Times New Roman"/>
                <w:sz w:val="20"/>
                <w:szCs w:val="20"/>
              </w:rPr>
            </w:pPr>
            <w:r w:rsidRPr="00522178">
              <w:rPr>
                <w:rFonts w:eastAsia="Times New Roman"/>
                <w:sz w:val="20"/>
                <w:szCs w:val="20"/>
              </w:rPr>
              <w:t>Адреса</w:t>
            </w:r>
          </w:p>
          <w:p w:rsidR="008379BB" w:rsidRPr="00522178" w:rsidRDefault="008379BB" w:rsidP="00610574">
            <w:pPr>
              <w:jc w:val="center"/>
              <w:rPr>
                <w:rFonts w:eastAsia="Times New Roman"/>
                <w:sz w:val="20"/>
                <w:szCs w:val="20"/>
              </w:rPr>
            </w:pPr>
            <w:r w:rsidRPr="00522178">
              <w:rPr>
                <w:rFonts w:eastAsia="Times New Roman"/>
                <w:sz w:val="20"/>
                <w:szCs w:val="20"/>
              </w:rPr>
              <w:t>об’єкту</w:t>
            </w:r>
          </w:p>
        </w:tc>
        <w:tc>
          <w:tcPr>
            <w:tcW w:w="1559" w:type="dxa"/>
            <w:tcBorders>
              <w:top w:val="single" w:sz="4" w:space="0" w:color="000000"/>
              <w:bottom w:val="single" w:sz="4" w:space="0" w:color="000000"/>
            </w:tcBorders>
            <w:shd w:val="clear" w:color="auto" w:fill="FFFFFF"/>
            <w:vAlign w:val="center"/>
          </w:tcPr>
          <w:p w:rsidR="008379BB" w:rsidRPr="00522178" w:rsidRDefault="008379BB" w:rsidP="00610574">
            <w:pPr>
              <w:jc w:val="center"/>
              <w:rPr>
                <w:rFonts w:eastAsia="Times New Roman"/>
                <w:sz w:val="20"/>
                <w:szCs w:val="20"/>
              </w:rPr>
            </w:pPr>
            <w:r w:rsidRPr="00522178">
              <w:rPr>
                <w:rFonts w:eastAsia="Times New Roman"/>
                <w:sz w:val="20"/>
                <w:szCs w:val="20"/>
              </w:rPr>
              <w:t>Тип ліфта</w:t>
            </w:r>
          </w:p>
        </w:tc>
        <w:tc>
          <w:tcPr>
            <w:tcW w:w="709" w:type="dxa"/>
            <w:tcBorders>
              <w:top w:val="single" w:sz="4" w:space="0" w:color="000000"/>
              <w:bottom w:val="single" w:sz="4" w:space="0" w:color="000000"/>
              <w:right w:val="single" w:sz="4" w:space="0" w:color="000000"/>
            </w:tcBorders>
            <w:shd w:val="clear" w:color="auto" w:fill="FFFFFF"/>
            <w:vAlign w:val="center"/>
          </w:tcPr>
          <w:p w:rsidR="008379BB" w:rsidRPr="00522178" w:rsidRDefault="008379BB" w:rsidP="00610574">
            <w:pPr>
              <w:jc w:val="center"/>
              <w:rPr>
                <w:rFonts w:eastAsia="Times New Roman"/>
                <w:sz w:val="20"/>
                <w:szCs w:val="20"/>
              </w:rPr>
            </w:pPr>
            <w:r w:rsidRPr="00522178">
              <w:rPr>
                <w:rFonts w:eastAsia="Times New Roman"/>
                <w:sz w:val="20"/>
                <w:szCs w:val="20"/>
              </w:rPr>
              <w:t>в/п,</w:t>
            </w:r>
          </w:p>
          <w:p w:rsidR="008379BB" w:rsidRPr="00522178" w:rsidRDefault="008379BB" w:rsidP="00610574">
            <w:pPr>
              <w:jc w:val="center"/>
              <w:rPr>
                <w:rFonts w:eastAsia="Times New Roman"/>
                <w:sz w:val="20"/>
                <w:szCs w:val="20"/>
              </w:rPr>
            </w:pPr>
            <w:r w:rsidRPr="00522178">
              <w:rPr>
                <w:rFonts w:eastAsia="Times New Roman"/>
                <w:sz w:val="20"/>
                <w:szCs w:val="20"/>
              </w:rPr>
              <w:t>кг</w:t>
            </w:r>
          </w:p>
        </w:tc>
        <w:tc>
          <w:tcPr>
            <w:tcW w:w="1276" w:type="dxa"/>
            <w:tcBorders>
              <w:top w:val="single" w:sz="4" w:space="0" w:color="000000"/>
              <w:bottom w:val="single" w:sz="4" w:space="0" w:color="000000"/>
              <w:right w:val="single" w:sz="4" w:space="0" w:color="000000"/>
            </w:tcBorders>
            <w:shd w:val="clear" w:color="auto" w:fill="FFFFFF"/>
            <w:vAlign w:val="center"/>
          </w:tcPr>
          <w:p w:rsidR="008379BB" w:rsidRPr="00522178" w:rsidRDefault="008379BB" w:rsidP="00610574">
            <w:pPr>
              <w:jc w:val="center"/>
              <w:rPr>
                <w:rFonts w:eastAsia="Times New Roman"/>
                <w:sz w:val="20"/>
                <w:szCs w:val="20"/>
              </w:rPr>
            </w:pPr>
            <w:r w:rsidRPr="00522178">
              <w:rPr>
                <w:rFonts w:eastAsia="Times New Roman"/>
                <w:sz w:val="20"/>
                <w:szCs w:val="20"/>
              </w:rPr>
              <w:t>Кількість</w:t>
            </w:r>
          </w:p>
          <w:p w:rsidR="008379BB" w:rsidRPr="00522178" w:rsidRDefault="008379BB" w:rsidP="00610574">
            <w:pPr>
              <w:jc w:val="center"/>
              <w:rPr>
                <w:rFonts w:eastAsia="Times New Roman"/>
                <w:sz w:val="20"/>
                <w:szCs w:val="20"/>
              </w:rPr>
            </w:pPr>
            <w:r w:rsidRPr="00522178">
              <w:rPr>
                <w:rFonts w:eastAsia="Times New Roman"/>
                <w:sz w:val="20"/>
                <w:szCs w:val="20"/>
              </w:rPr>
              <w:t>поверхів</w:t>
            </w:r>
          </w:p>
        </w:tc>
        <w:tc>
          <w:tcPr>
            <w:tcW w:w="1417" w:type="dxa"/>
            <w:tcBorders>
              <w:top w:val="single" w:sz="4" w:space="0" w:color="000000"/>
              <w:bottom w:val="single" w:sz="4" w:space="0" w:color="000000"/>
              <w:right w:val="single" w:sz="4" w:space="0" w:color="000000"/>
            </w:tcBorders>
            <w:shd w:val="clear" w:color="auto" w:fill="FFFFFF"/>
            <w:vAlign w:val="center"/>
          </w:tcPr>
          <w:p w:rsidR="008379BB" w:rsidRPr="00522178" w:rsidRDefault="008379BB" w:rsidP="00610574">
            <w:pPr>
              <w:jc w:val="center"/>
              <w:rPr>
                <w:rFonts w:eastAsia="Times New Roman"/>
                <w:sz w:val="20"/>
                <w:szCs w:val="20"/>
              </w:rPr>
            </w:pPr>
            <w:r w:rsidRPr="00522178">
              <w:rPr>
                <w:rFonts w:eastAsia="Times New Roman"/>
                <w:sz w:val="20"/>
                <w:szCs w:val="20"/>
              </w:rPr>
              <w:t>Швидкість, м/с</w:t>
            </w:r>
          </w:p>
        </w:tc>
        <w:tc>
          <w:tcPr>
            <w:tcW w:w="2268" w:type="dxa"/>
            <w:tcBorders>
              <w:top w:val="single" w:sz="4" w:space="0" w:color="000000"/>
              <w:bottom w:val="single" w:sz="4" w:space="0" w:color="000000"/>
              <w:right w:val="single" w:sz="4" w:space="0" w:color="000000"/>
            </w:tcBorders>
            <w:shd w:val="clear" w:color="auto" w:fill="FFFFFF"/>
            <w:vAlign w:val="center"/>
          </w:tcPr>
          <w:p w:rsidR="008379BB" w:rsidRPr="00522178" w:rsidRDefault="008379BB" w:rsidP="00610574">
            <w:pPr>
              <w:jc w:val="center"/>
              <w:rPr>
                <w:rFonts w:eastAsia="Times New Roman"/>
                <w:sz w:val="20"/>
                <w:szCs w:val="20"/>
              </w:rPr>
            </w:pPr>
            <w:r w:rsidRPr="00522178">
              <w:rPr>
                <w:rFonts w:eastAsia="Times New Roman"/>
                <w:sz w:val="20"/>
                <w:szCs w:val="20"/>
              </w:rPr>
              <w:t>Рік введення в експлуатацію</w:t>
            </w:r>
          </w:p>
        </w:tc>
      </w:tr>
      <w:tr w:rsidR="008379BB" w:rsidRPr="00522178" w:rsidTr="00610574">
        <w:trPr>
          <w:trHeight w:val="767"/>
        </w:trPr>
        <w:tc>
          <w:tcPr>
            <w:tcW w:w="709" w:type="dxa"/>
            <w:shd w:val="clear" w:color="auto" w:fill="FFFFFF"/>
            <w:vAlign w:val="center"/>
          </w:tcPr>
          <w:p w:rsidR="008379BB" w:rsidRPr="00522178" w:rsidRDefault="008379BB" w:rsidP="00610574">
            <w:pPr>
              <w:jc w:val="center"/>
              <w:rPr>
                <w:rFonts w:eastAsia="Times New Roman"/>
                <w:sz w:val="20"/>
                <w:szCs w:val="20"/>
              </w:rPr>
            </w:pPr>
            <w:r w:rsidRPr="00522178">
              <w:rPr>
                <w:rFonts w:eastAsia="Times New Roman"/>
                <w:sz w:val="20"/>
                <w:szCs w:val="20"/>
              </w:rPr>
              <w:t>1</w:t>
            </w:r>
          </w:p>
        </w:tc>
        <w:tc>
          <w:tcPr>
            <w:tcW w:w="1701" w:type="dxa"/>
            <w:shd w:val="clear" w:color="auto" w:fill="FFFFFF"/>
          </w:tcPr>
          <w:p w:rsidR="008379BB" w:rsidRPr="00522178" w:rsidRDefault="008379BB" w:rsidP="00610574">
            <w:pPr>
              <w:jc w:val="center"/>
              <w:rPr>
                <w:color w:val="000000"/>
                <w:sz w:val="20"/>
                <w:szCs w:val="20"/>
              </w:rPr>
            </w:pPr>
            <w:r w:rsidRPr="00522178">
              <w:rPr>
                <w:color w:val="000000"/>
                <w:sz w:val="20"/>
                <w:szCs w:val="20"/>
              </w:rPr>
              <w:t>вул.</w:t>
            </w:r>
          </w:p>
          <w:p w:rsidR="008379BB" w:rsidRPr="00522178" w:rsidRDefault="008379BB" w:rsidP="00610574">
            <w:pPr>
              <w:jc w:val="center"/>
              <w:rPr>
                <w:color w:val="000000"/>
                <w:sz w:val="20"/>
                <w:szCs w:val="20"/>
              </w:rPr>
            </w:pPr>
            <w:r w:rsidRPr="00522178">
              <w:rPr>
                <w:color w:val="000000"/>
                <w:sz w:val="20"/>
                <w:szCs w:val="20"/>
              </w:rPr>
              <w:t xml:space="preserve">Воскресенська,2 </w:t>
            </w:r>
          </w:p>
        </w:tc>
        <w:tc>
          <w:tcPr>
            <w:tcW w:w="1559" w:type="dxa"/>
            <w:shd w:val="clear" w:color="auto" w:fill="FFFFFF"/>
            <w:vAlign w:val="center"/>
          </w:tcPr>
          <w:p w:rsidR="008379BB" w:rsidRPr="00522178" w:rsidRDefault="008379BB" w:rsidP="00610574">
            <w:pPr>
              <w:spacing w:after="120"/>
              <w:jc w:val="center"/>
              <w:rPr>
                <w:rFonts w:eastAsia="Times New Roman"/>
                <w:sz w:val="20"/>
                <w:szCs w:val="20"/>
              </w:rPr>
            </w:pPr>
            <w:r w:rsidRPr="00522178">
              <w:rPr>
                <w:rFonts w:eastAsia="Times New Roman"/>
                <w:sz w:val="20"/>
                <w:szCs w:val="20"/>
              </w:rPr>
              <w:t xml:space="preserve">Лікарняний  </w:t>
            </w:r>
          </w:p>
          <w:p w:rsidR="008379BB" w:rsidRPr="00522178" w:rsidRDefault="008379BB" w:rsidP="00610574">
            <w:pPr>
              <w:spacing w:after="120"/>
              <w:jc w:val="center"/>
              <w:rPr>
                <w:rFonts w:eastAsia="Times New Roman"/>
                <w:sz w:val="20"/>
                <w:szCs w:val="20"/>
              </w:rPr>
            </w:pPr>
          </w:p>
        </w:tc>
        <w:tc>
          <w:tcPr>
            <w:tcW w:w="709" w:type="dxa"/>
            <w:shd w:val="clear" w:color="auto" w:fill="FFFFFF"/>
            <w:vAlign w:val="center"/>
          </w:tcPr>
          <w:p w:rsidR="008379BB" w:rsidRPr="00522178" w:rsidRDefault="008379BB" w:rsidP="00610574">
            <w:pPr>
              <w:jc w:val="center"/>
              <w:rPr>
                <w:rFonts w:eastAsia="Times New Roman"/>
                <w:sz w:val="20"/>
                <w:szCs w:val="20"/>
              </w:rPr>
            </w:pPr>
            <w:r w:rsidRPr="00522178">
              <w:rPr>
                <w:rFonts w:eastAsia="Times New Roman"/>
                <w:sz w:val="20"/>
                <w:szCs w:val="20"/>
              </w:rPr>
              <w:t>500</w:t>
            </w:r>
          </w:p>
        </w:tc>
        <w:tc>
          <w:tcPr>
            <w:tcW w:w="1276" w:type="dxa"/>
            <w:shd w:val="clear" w:color="auto" w:fill="FFFFFF"/>
            <w:vAlign w:val="center"/>
          </w:tcPr>
          <w:p w:rsidR="008379BB" w:rsidRPr="00522178" w:rsidRDefault="008379BB" w:rsidP="00610574">
            <w:pPr>
              <w:jc w:val="center"/>
              <w:rPr>
                <w:rFonts w:eastAsia="Times New Roman"/>
                <w:sz w:val="20"/>
                <w:szCs w:val="20"/>
              </w:rPr>
            </w:pPr>
            <w:r w:rsidRPr="00522178">
              <w:rPr>
                <w:rFonts w:eastAsia="Times New Roman"/>
                <w:sz w:val="20"/>
                <w:szCs w:val="20"/>
              </w:rPr>
              <w:t>5</w:t>
            </w:r>
          </w:p>
        </w:tc>
        <w:tc>
          <w:tcPr>
            <w:tcW w:w="1417" w:type="dxa"/>
            <w:shd w:val="clear" w:color="auto" w:fill="FFFFFF"/>
            <w:vAlign w:val="center"/>
          </w:tcPr>
          <w:p w:rsidR="008379BB" w:rsidRPr="00522178" w:rsidRDefault="008379BB" w:rsidP="00610574">
            <w:pPr>
              <w:jc w:val="center"/>
              <w:rPr>
                <w:rFonts w:eastAsia="Times New Roman"/>
                <w:sz w:val="20"/>
                <w:szCs w:val="20"/>
              </w:rPr>
            </w:pPr>
            <w:r w:rsidRPr="00522178">
              <w:rPr>
                <w:rFonts w:eastAsia="Times New Roman"/>
                <w:sz w:val="20"/>
                <w:szCs w:val="20"/>
              </w:rPr>
              <w:t>0,5</w:t>
            </w:r>
          </w:p>
        </w:tc>
        <w:tc>
          <w:tcPr>
            <w:tcW w:w="2268" w:type="dxa"/>
            <w:shd w:val="clear" w:color="auto" w:fill="FFFFFF"/>
            <w:vAlign w:val="center"/>
          </w:tcPr>
          <w:p w:rsidR="008379BB" w:rsidRPr="00522178" w:rsidRDefault="008379BB" w:rsidP="00610574">
            <w:pPr>
              <w:jc w:val="center"/>
              <w:rPr>
                <w:rFonts w:eastAsia="Times New Roman"/>
                <w:sz w:val="20"/>
                <w:szCs w:val="20"/>
              </w:rPr>
            </w:pPr>
            <w:r w:rsidRPr="00522178">
              <w:rPr>
                <w:rFonts w:eastAsia="Times New Roman"/>
                <w:sz w:val="20"/>
                <w:szCs w:val="20"/>
              </w:rPr>
              <w:t>2021</w:t>
            </w:r>
          </w:p>
        </w:tc>
      </w:tr>
    </w:tbl>
    <w:p w:rsidR="008379BB" w:rsidRPr="00987888" w:rsidRDefault="008379BB" w:rsidP="008379BB">
      <w:pPr>
        <w:spacing w:line="276" w:lineRule="auto"/>
        <w:ind w:firstLine="567"/>
        <w:jc w:val="both"/>
        <w:rPr>
          <w:rFonts w:eastAsia="Times New Roman"/>
          <w:lang w:eastAsia="ru-RU"/>
        </w:rPr>
      </w:pPr>
    </w:p>
    <w:p w:rsidR="008379BB" w:rsidRPr="00987888" w:rsidRDefault="008379BB" w:rsidP="008379BB">
      <w:pPr>
        <w:widowControl w:val="0"/>
        <w:jc w:val="both"/>
        <w:rPr>
          <w:b/>
          <w:u w:val="single"/>
          <w:lang w:eastAsia="en-US"/>
        </w:rPr>
      </w:pPr>
      <w:r w:rsidRPr="00987888">
        <w:rPr>
          <w:b/>
          <w:u w:val="single"/>
          <w:lang w:eastAsia="en-US"/>
        </w:rPr>
        <w:t xml:space="preserve">Примітка:  </w:t>
      </w:r>
    </w:p>
    <w:p w:rsidR="008379BB" w:rsidRPr="00987888" w:rsidRDefault="008379BB" w:rsidP="008379BB">
      <w:pPr>
        <w:jc w:val="both"/>
        <w:rPr>
          <w:rFonts w:eastAsia="Times New Roman"/>
          <w:color w:val="FF0000"/>
          <w:lang w:eastAsia="ru-RU"/>
        </w:rPr>
      </w:pPr>
      <w:r w:rsidRPr="00987888">
        <w:rPr>
          <w:lang w:eastAsia="en-US"/>
        </w:rPr>
        <w:t xml:space="preserve">           1. Для підтвердження можливості вчасного та належного надання послуг, для оцінки власних можливостей, наявності власних кваліфікованих фахівців та одержання інформації, яка може бути необхідною для підготовки тендерної пропозиції, Учасник повинен виконати візуальний огляд об’єкту, на якому мають бути надані послуги, про що надати інформаційну довідку в довільній формі за підписом уповноважених представників Учасника і Замовника, яка має бути оформлена і огляд має відбутися не пізніше закінчення періоду уточнення інформації про дану закупівлю (звернення за роз’ясненнями).</w:t>
      </w:r>
    </w:p>
    <w:p w:rsidR="008379BB" w:rsidRPr="00987888" w:rsidRDefault="008379BB" w:rsidP="008379BB">
      <w:pPr>
        <w:jc w:val="both"/>
        <w:rPr>
          <w:rFonts w:eastAsia="Times New Roman"/>
          <w:color w:val="000000"/>
          <w:lang w:eastAsia="zh-CN"/>
        </w:rPr>
      </w:pPr>
      <w:r w:rsidRPr="00987888">
        <w:rPr>
          <w:rFonts w:eastAsia="Times New Roman"/>
          <w:color w:val="000000"/>
          <w:lang w:eastAsia="zh-CN"/>
        </w:rPr>
        <w:t xml:space="preserve">          2. Учасник визначає ціни на послуги з урахуванням усіх своїх витрат, податків і зборів, що сплачуються або мають бути ним сплачені. До розрахунку ціни входять усі види послуг, у тому числі й ті, які </w:t>
      </w:r>
      <w:proofErr w:type="spellStart"/>
      <w:r w:rsidRPr="00987888">
        <w:rPr>
          <w:rFonts w:eastAsia="Times New Roman"/>
          <w:color w:val="000000"/>
          <w:lang w:eastAsia="zh-CN"/>
        </w:rPr>
        <w:t>доручатимуться</w:t>
      </w:r>
      <w:proofErr w:type="spellEnd"/>
      <w:r w:rsidRPr="00987888">
        <w:rPr>
          <w:rFonts w:eastAsia="Times New Roman"/>
          <w:color w:val="000000"/>
          <w:lang w:eastAsia="zh-CN"/>
        </w:rPr>
        <w:t xml:space="preserve"> для виконання третім особам або субпідрядникам, в разі їх залучення до надання послуг.</w:t>
      </w:r>
    </w:p>
    <w:p w:rsidR="008379BB" w:rsidRPr="00987888" w:rsidRDefault="008379BB" w:rsidP="008379BB">
      <w:pPr>
        <w:jc w:val="both"/>
        <w:rPr>
          <w:rFonts w:eastAsia="Times New Roman"/>
          <w:color w:val="000000"/>
          <w:lang w:eastAsia="zh-CN"/>
        </w:rPr>
      </w:pPr>
      <w:r w:rsidRPr="00987888">
        <w:rPr>
          <w:rFonts w:eastAsia="Times New Roman"/>
          <w:color w:val="000000"/>
          <w:lang w:eastAsia="zh-CN"/>
        </w:rPr>
        <w:t xml:space="preserve">            3. Ціна пропозиції учасника означає суму, за яку учасник передбачає надати послуги, передбачені в технічному завданні замовника.</w:t>
      </w:r>
    </w:p>
    <w:p w:rsidR="008379BB" w:rsidRPr="00987888" w:rsidRDefault="008379BB" w:rsidP="008379BB">
      <w:pPr>
        <w:jc w:val="both"/>
        <w:rPr>
          <w:rFonts w:eastAsia="Times New Roman"/>
          <w:color w:val="000000"/>
          <w:lang w:eastAsia="zh-CN"/>
        </w:rPr>
      </w:pPr>
      <w:r w:rsidRPr="00987888">
        <w:rPr>
          <w:rFonts w:eastAsia="Times New Roman"/>
          <w:color w:val="000000"/>
          <w:lang w:eastAsia="zh-CN"/>
        </w:rPr>
        <w:t xml:space="preserve">            4. Ціну пропозиції слід визначати відповідно до вимог технічного завдання щодо термінів закінчення надання послуг, технології надання послуг, використання конкретних матеріалів, якості послуг, а також дотримання діючих норм і правил експлуатації техніки та безпечних умов праці.</w:t>
      </w:r>
    </w:p>
    <w:p w:rsidR="008379BB" w:rsidRPr="00987888" w:rsidRDefault="008379BB" w:rsidP="008379BB">
      <w:pPr>
        <w:jc w:val="both"/>
        <w:rPr>
          <w:rFonts w:eastAsia="Times New Roman"/>
          <w:color w:val="000000"/>
          <w:lang w:eastAsia="zh-CN"/>
        </w:rPr>
      </w:pPr>
      <w:r w:rsidRPr="00987888">
        <w:rPr>
          <w:rFonts w:eastAsia="Times New Roman"/>
          <w:color w:val="000000"/>
          <w:lang w:eastAsia="zh-CN"/>
        </w:rPr>
        <w:t xml:space="preserve">            5. Вартість пропозиції та всі інші ціни повинні бути чітко визначені.</w:t>
      </w:r>
    </w:p>
    <w:p w:rsidR="008379BB" w:rsidRPr="00987888" w:rsidRDefault="008379BB" w:rsidP="008379BB">
      <w:pPr>
        <w:jc w:val="both"/>
        <w:rPr>
          <w:rFonts w:eastAsia="Times New Roman"/>
          <w:color w:val="000000"/>
          <w:lang w:eastAsia="zh-CN"/>
        </w:rPr>
      </w:pPr>
      <w:r w:rsidRPr="00987888">
        <w:rPr>
          <w:rFonts w:eastAsia="Times New Roman"/>
          <w:color w:val="000000"/>
          <w:lang w:eastAsia="zh-CN"/>
        </w:rPr>
        <w:t xml:space="preserve">            6.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w:t>
      </w:r>
    </w:p>
    <w:p w:rsidR="008379BB" w:rsidRPr="00987888" w:rsidRDefault="008379BB" w:rsidP="008379BB">
      <w:pPr>
        <w:jc w:val="both"/>
        <w:rPr>
          <w:rFonts w:eastAsia="Times New Roman"/>
          <w:color w:val="000000"/>
          <w:lang w:eastAsia="zh-CN"/>
        </w:rPr>
      </w:pPr>
      <w:r w:rsidRPr="00987888">
        <w:rPr>
          <w:rFonts w:eastAsia="Times New Roman"/>
          <w:color w:val="000000"/>
          <w:lang w:eastAsia="zh-CN"/>
        </w:rPr>
        <w:t xml:space="preserve">            7. До ціни пропозиції не включаються витрати, пов’язані з укладанням договору. Пропозиція учасника, в ціну якої включені будь-які витрати, понесені ним у процесі здійснення процедури закупівлі та укладання договору про закупівлю, відхиляється замовником.</w:t>
      </w:r>
    </w:p>
    <w:p w:rsidR="008379BB" w:rsidRPr="00987888" w:rsidRDefault="008379BB" w:rsidP="008379BB">
      <w:pPr>
        <w:widowControl w:val="0"/>
        <w:jc w:val="both"/>
        <w:rPr>
          <w:lang w:eastAsia="en-US"/>
        </w:rPr>
      </w:pPr>
      <w:r w:rsidRPr="00987888">
        <w:rPr>
          <w:lang w:eastAsia="en-US"/>
        </w:rPr>
        <w:t xml:space="preserve">            8</w:t>
      </w:r>
      <w:r w:rsidRPr="00987888">
        <w:rPr>
          <w:bCs/>
          <w:lang w:eastAsia="en-US"/>
        </w:rPr>
        <w:t xml:space="preserve">. </w:t>
      </w:r>
      <w:r w:rsidRPr="00987888">
        <w:rPr>
          <w:lang w:eastAsia="en-US"/>
        </w:rPr>
        <w:t>Учасник відповідає за одержання всіх необхідних дозволів, ліцензій, сертифікатів на послуги, запропоновані на закупівлю, та самостійно несе всі витрати на отримання таких дозволів, ліцензій, сертифікатів.</w:t>
      </w:r>
    </w:p>
    <w:p w:rsidR="008379BB" w:rsidRPr="00987888" w:rsidRDefault="008379BB" w:rsidP="0083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firstLine="709"/>
        <w:jc w:val="both"/>
        <w:rPr>
          <w:lang w:eastAsia="en-US"/>
        </w:rPr>
      </w:pPr>
      <w:r w:rsidRPr="00987888">
        <w:rPr>
          <w:lang w:eastAsia="en-US"/>
        </w:rPr>
        <w:t>9. У складі пропозиції, для виконання робіт підвищеної небезпеки, учасник повинен надати наступні документи:</w:t>
      </w:r>
    </w:p>
    <w:p w:rsidR="008379BB" w:rsidRPr="00987888" w:rsidRDefault="008379BB" w:rsidP="0083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firstLine="709"/>
        <w:jc w:val="both"/>
        <w:rPr>
          <w:lang w:eastAsia="en-US"/>
        </w:rPr>
      </w:pPr>
      <w:r w:rsidRPr="00987888">
        <w:rPr>
          <w:lang w:eastAsia="en-US"/>
        </w:rPr>
        <w:t xml:space="preserve">- копія дозволу (дозволів) на здійснення монтажу, демонтажу машин, механізмів, </w:t>
      </w:r>
      <w:proofErr w:type="spellStart"/>
      <w:r w:rsidRPr="00987888">
        <w:rPr>
          <w:lang w:eastAsia="en-US"/>
        </w:rPr>
        <w:t>устатковання</w:t>
      </w:r>
      <w:proofErr w:type="spellEnd"/>
      <w:r w:rsidRPr="00987888">
        <w:rPr>
          <w:lang w:eastAsia="en-US"/>
        </w:rPr>
        <w:t xml:space="preserve"> підвищеної небезпеки – ліфтів, налагодження, ремонту, технічного обслуговування, реконструкції механізмів, </w:t>
      </w:r>
      <w:proofErr w:type="spellStart"/>
      <w:r w:rsidRPr="00987888">
        <w:rPr>
          <w:lang w:eastAsia="en-US"/>
        </w:rPr>
        <w:t>устатковання</w:t>
      </w:r>
      <w:proofErr w:type="spellEnd"/>
      <w:r w:rsidRPr="00987888">
        <w:rPr>
          <w:lang w:eastAsia="en-US"/>
        </w:rPr>
        <w:t xml:space="preserve"> підвищеної небезпеки – ліфтів, строк </w:t>
      </w:r>
      <w:r w:rsidRPr="00987888">
        <w:rPr>
          <w:lang w:eastAsia="en-US"/>
        </w:rPr>
        <w:lastRenderedPageBreak/>
        <w:t xml:space="preserve">дії якого (яких) не повинен бути меншим, ніж строк виконання робіт, надання послуг, передбачений умовами цієї закупівлі. При цьому, із урахуванням </w:t>
      </w:r>
      <w:proofErr w:type="spellStart"/>
      <w:r w:rsidRPr="00987888">
        <w:rPr>
          <w:lang w:eastAsia="en-US"/>
        </w:rPr>
        <w:t>п.п</w:t>
      </w:r>
      <w:proofErr w:type="spellEnd"/>
      <w:r w:rsidRPr="00987888">
        <w:rPr>
          <w:lang w:eastAsia="en-US"/>
        </w:rPr>
        <w:t xml:space="preserve">. 4 п. 1 Постанови Кабінету Міністрів України від 24.03.2022 №357, строк дії документів дозвільного характеру на експлуатацію машин, механізмів, </w:t>
      </w:r>
      <w:proofErr w:type="spellStart"/>
      <w:r w:rsidRPr="00987888">
        <w:rPr>
          <w:lang w:eastAsia="en-US"/>
        </w:rPr>
        <w:t>устатковання</w:t>
      </w:r>
      <w:proofErr w:type="spellEnd"/>
      <w:r w:rsidRPr="00987888">
        <w:rPr>
          <w:lang w:eastAsia="en-US"/>
        </w:rPr>
        <w:t xml:space="preserve">  підвищеної небезпеки та на виконання робіт підвищеної небезпеки, який закінчився в період дії воєнного стану, автоматично продовжується на період дії воєнного стану і протягом одного місяця після його припинення чи скасування;</w:t>
      </w:r>
    </w:p>
    <w:p w:rsidR="008379BB" w:rsidRPr="00987888" w:rsidRDefault="008379BB" w:rsidP="0083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firstLine="709"/>
        <w:jc w:val="both"/>
        <w:rPr>
          <w:lang w:eastAsia="en-US"/>
        </w:rPr>
      </w:pPr>
      <w:r w:rsidRPr="00987888">
        <w:rPr>
          <w:lang w:eastAsia="en-US"/>
        </w:rPr>
        <w:t>10. Учасник при наданні послуг зобов’язується дотримуватися вимог нормативно-правових актів у даній сфері, правил пожежної безпеки.</w:t>
      </w:r>
    </w:p>
    <w:p w:rsidR="008379BB" w:rsidRPr="00987888" w:rsidRDefault="008379BB" w:rsidP="0083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firstLine="709"/>
        <w:jc w:val="both"/>
        <w:rPr>
          <w:lang w:eastAsia="en-US"/>
        </w:rPr>
      </w:pPr>
      <w:r w:rsidRPr="00987888">
        <w:rPr>
          <w:lang w:eastAsia="en-US"/>
        </w:rPr>
        <w:t>11. Учасник надає послугу з використанням власного обладнання та матеріалів, що входять у вартість виконання такої послуги.</w:t>
      </w:r>
    </w:p>
    <w:p w:rsidR="008379BB" w:rsidRPr="00987888" w:rsidRDefault="008379BB" w:rsidP="008379BB">
      <w:pPr>
        <w:ind w:firstLine="709"/>
        <w:jc w:val="both"/>
        <w:rPr>
          <w:lang w:eastAsia="en-US"/>
        </w:rPr>
      </w:pPr>
      <w:r w:rsidRPr="00987888">
        <w:rPr>
          <w:lang w:eastAsia="en-US"/>
        </w:rPr>
        <w:t xml:space="preserve">12. Застосовані матеріали та конструкції повинні відповідати усім чинним на момент виконання таких робіт санітарним, протипожежним нормам та правилам для такого роду об'єктів. </w:t>
      </w:r>
    </w:p>
    <w:p w:rsidR="008379BB" w:rsidRPr="00987888" w:rsidRDefault="008379BB" w:rsidP="008379BB">
      <w:pPr>
        <w:ind w:firstLine="709"/>
        <w:jc w:val="both"/>
        <w:rPr>
          <w:lang w:eastAsia="en-US"/>
        </w:rPr>
      </w:pPr>
      <w:r w:rsidRPr="00987888">
        <w:rPr>
          <w:lang w:eastAsia="en-US"/>
        </w:rPr>
        <w:t>Учасники процедури закупівлі повинні надати у складі тендерної пропозиції гарантійний лист щодо якості запропонованих матеріалів та засобів, які будуть використовуватися при наданні послуг по предмету закупівлі.</w:t>
      </w:r>
    </w:p>
    <w:p w:rsidR="008379BB" w:rsidRPr="00987888" w:rsidRDefault="008379BB" w:rsidP="008379BB">
      <w:pPr>
        <w:jc w:val="both"/>
        <w:rPr>
          <w:rFonts w:eastAsia="Times New Roman"/>
          <w:color w:val="000000"/>
          <w:lang w:eastAsia="zh-CN"/>
        </w:rPr>
      </w:pPr>
      <w:r w:rsidRPr="00987888">
        <w:rPr>
          <w:lang w:eastAsia="en-US"/>
        </w:rPr>
        <w:t xml:space="preserve">            13. </w:t>
      </w:r>
      <w:r w:rsidRPr="00987888">
        <w:rPr>
          <w:rFonts w:eastAsia="Times New Roman"/>
          <w:color w:val="000000"/>
          <w:lang w:eastAsia="zh-CN"/>
        </w:rPr>
        <w:t>З метою підтвердження можливості вчасного та належного надання послуг учасники у складі своєї тендерної пропозиції мають надати інформаційну довідку складену в довільній формі, щодо фінансової спроможності учасника стосовно закупівлі товарів та матеріалів, необхідних для надання послуг за предметом закупівлі.</w:t>
      </w:r>
    </w:p>
    <w:p w:rsidR="008379BB" w:rsidRPr="00987888" w:rsidRDefault="008379BB" w:rsidP="0083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firstLine="709"/>
        <w:jc w:val="both"/>
        <w:rPr>
          <w:lang w:eastAsia="en-US"/>
        </w:rPr>
      </w:pPr>
      <w:r w:rsidRPr="00987888">
        <w:rPr>
          <w:lang w:eastAsia="en-US"/>
        </w:rPr>
        <w:t>14. Учасник самостійно забезпечує збереження власних матеріалів, інструментів, обладнання, необхідного для надання таких послуг.</w:t>
      </w:r>
    </w:p>
    <w:p w:rsidR="008379BB" w:rsidRPr="00987888" w:rsidRDefault="008379BB" w:rsidP="0083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firstLine="709"/>
        <w:jc w:val="both"/>
        <w:rPr>
          <w:lang w:eastAsia="en-US"/>
        </w:rPr>
      </w:pPr>
      <w:r w:rsidRPr="00987888">
        <w:rPr>
          <w:lang w:eastAsia="en-US"/>
        </w:rPr>
        <w:t>15. Учасник при наданні послуг відповідає за своєчасне прибирання робочих місць та збереження іншого обладнання, що знаходиться в зоні надання послуг.</w:t>
      </w:r>
    </w:p>
    <w:p w:rsidR="008379BB" w:rsidRPr="00987888" w:rsidRDefault="008379BB" w:rsidP="0083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firstLine="709"/>
        <w:jc w:val="both"/>
        <w:rPr>
          <w:lang w:eastAsia="en-US"/>
        </w:rPr>
      </w:pPr>
      <w:r w:rsidRPr="00987888">
        <w:rPr>
          <w:lang w:eastAsia="en-US"/>
        </w:rPr>
        <w:t>16. Учасник несе відповідальність за пошкодження комунікацій та інженерних мереж, а також іншого майна, яке знаходиться на території надання послуг.</w:t>
      </w:r>
    </w:p>
    <w:p w:rsidR="008379BB" w:rsidRPr="00987888" w:rsidRDefault="008379BB" w:rsidP="008379BB">
      <w:pPr>
        <w:jc w:val="both"/>
        <w:rPr>
          <w:lang w:eastAsia="en-US"/>
        </w:rPr>
      </w:pPr>
      <w:r w:rsidRPr="00987888">
        <w:rPr>
          <w:color w:val="000000"/>
          <w:lang w:eastAsia="zh-CN"/>
        </w:rPr>
        <w:t xml:space="preserve">            17. У разі пошкодження </w:t>
      </w:r>
      <w:r w:rsidRPr="00987888">
        <w:rPr>
          <w:lang w:eastAsia="en-US"/>
        </w:rPr>
        <w:t>комунікацій або інженерних мереж</w:t>
      </w:r>
      <w:r w:rsidRPr="00987888">
        <w:rPr>
          <w:color w:val="000000"/>
          <w:lang w:eastAsia="zh-CN"/>
        </w:rPr>
        <w:t>, Виконавець зобов’язаний виконати роботи з відновлення елементів та нести відповідальність за якість наданих послуг.</w:t>
      </w:r>
    </w:p>
    <w:p w:rsidR="008379BB" w:rsidRPr="00987888" w:rsidRDefault="008379BB" w:rsidP="008379BB">
      <w:pPr>
        <w:jc w:val="both"/>
        <w:rPr>
          <w:rFonts w:eastAsia="Times New Roman"/>
          <w:color w:val="000000"/>
          <w:lang w:eastAsia="zh-CN"/>
        </w:rPr>
      </w:pPr>
      <w:r w:rsidRPr="00987888">
        <w:rPr>
          <w:rFonts w:eastAsia="Times New Roman"/>
          <w:color w:val="000000"/>
          <w:lang w:eastAsia="zh-CN"/>
        </w:rPr>
        <w:t xml:space="preserve">            18. Після закінчення надання послуг Виконавець надає Замовнику Акти наданих послуг (виконаних робіт) для оплати таких послуг.       </w:t>
      </w:r>
    </w:p>
    <w:p w:rsidR="008379BB" w:rsidRPr="00987888" w:rsidRDefault="008379BB" w:rsidP="008379BB">
      <w:pPr>
        <w:jc w:val="both"/>
        <w:rPr>
          <w:rFonts w:eastAsia="Times New Roman"/>
          <w:color w:val="000000"/>
          <w:lang w:eastAsia="zh-CN"/>
        </w:rPr>
      </w:pPr>
      <w:r w:rsidRPr="00987888">
        <w:rPr>
          <w:rFonts w:eastAsia="Times New Roman"/>
          <w:color w:val="000000"/>
          <w:lang w:eastAsia="zh-CN"/>
        </w:rPr>
        <w:t xml:space="preserve">            19. Акти наданих послуг повинні складатись на основі наданих розрахунків договірної ціни та усіх розрахунків, які є її складовими. </w:t>
      </w:r>
    </w:p>
    <w:p w:rsidR="008379BB" w:rsidRPr="00987888" w:rsidRDefault="008379BB" w:rsidP="008379BB">
      <w:pPr>
        <w:jc w:val="both"/>
        <w:rPr>
          <w:rFonts w:eastAsia="Times New Roman"/>
          <w:color w:val="000000"/>
          <w:lang w:eastAsia="zh-CN"/>
        </w:rPr>
      </w:pPr>
      <w:r w:rsidRPr="00987888">
        <w:rPr>
          <w:rFonts w:eastAsia="Times New Roman"/>
          <w:color w:val="000000"/>
          <w:lang w:eastAsia="zh-CN"/>
        </w:rPr>
        <w:t xml:space="preserve">            20. З метою контролю за наданням послуг, наявності необхідних документів, що підтверджують якість матеріалів та конструкції, замовником залучається спеціаліст з технічного нагляду. Учасник у складі тендерної пропозиції надає лист про те, що він ознайомлений з правилами перевірки надання послуг, а саме залучення замовником спеціалістів з технічного нагляду.</w:t>
      </w:r>
    </w:p>
    <w:p w:rsidR="008379BB" w:rsidRPr="00987888" w:rsidRDefault="008379BB" w:rsidP="008379BB">
      <w:pPr>
        <w:suppressAutoHyphens w:val="0"/>
        <w:ind w:left="7920"/>
        <w:jc w:val="right"/>
        <w:rPr>
          <w:rFonts w:eastAsia="Times New Roman"/>
          <w:b/>
          <w:highlight w:val="white"/>
          <w:lang w:eastAsia="ru-RU"/>
        </w:rPr>
      </w:pPr>
    </w:p>
    <w:p w:rsidR="008379BB" w:rsidRPr="00987888" w:rsidRDefault="008379BB" w:rsidP="008379BB">
      <w:pPr>
        <w:jc w:val="both"/>
        <w:rPr>
          <w:rFonts w:eastAsia="Times New Roman"/>
          <w:b/>
          <w:i/>
          <w:lang w:eastAsia="zh-CN"/>
        </w:rPr>
      </w:pPr>
      <w:r w:rsidRPr="00987888">
        <w:rPr>
          <w:rFonts w:eastAsia="Times New Roman"/>
          <w:b/>
          <w:lang w:eastAsia="zh-CN"/>
        </w:rPr>
        <w:t xml:space="preserve">* </w:t>
      </w:r>
      <w:r w:rsidRPr="00987888">
        <w:rPr>
          <w:rFonts w:eastAsia="Times New Roman"/>
          <w:b/>
          <w:i/>
          <w:lang w:eastAsia="zh-CN"/>
        </w:rPr>
        <w:t xml:space="preserve">Погодження з технічними, якісними та кількісними характеристиками предмета закупівлі Учасник обов'язково підтверджує документально. Документальним підтвердженням може бути </w:t>
      </w:r>
      <w:r w:rsidRPr="00987888">
        <w:rPr>
          <w:rFonts w:eastAsia="Times New Roman"/>
          <w:b/>
          <w:i/>
          <w:u w:val="single"/>
          <w:lang w:eastAsia="zh-CN"/>
        </w:rPr>
        <w:t>довідка у довільній формі</w:t>
      </w:r>
      <w:r w:rsidRPr="00987888">
        <w:rPr>
          <w:rFonts w:eastAsia="Times New Roman"/>
          <w:b/>
          <w:i/>
          <w:lang w:eastAsia="zh-CN"/>
        </w:rPr>
        <w:t xml:space="preserve"> або у вигляді цього Додатку 2 до тендерної документації з обов’язковим наданням документів зазначених в цьому Додатку.</w:t>
      </w:r>
    </w:p>
    <w:p w:rsidR="008379BB" w:rsidRPr="00987888" w:rsidRDefault="008379BB" w:rsidP="008379BB">
      <w:pPr>
        <w:jc w:val="both"/>
        <w:rPr>
          <w:rFonts w:eastAsia="Times New Roman"/>
          <w:i/>
          <w:iCs/>
          <w:lang w:eastAsia="zh-CN"/>
        </w:rPr>
      </w:pPr>
      <w:r w:rsidRPr="00987888">
        <w:rPr>
          <w:rFonts w:eastAsia="Times New Roman"/>
          <w:i/>
          <w:iCs/>
          <w:lang w:eastAsia="zh-CN"/>
        </w:rPr>
        <w:t>______________________</w:t>
      </w:r>
      <w:r w:rsidRPr="00987888">
        <w:rPr>
          <w:rFonts w:eastAsia="Times New Roman"/>
          <w:i/>
          <w:iCs/>
          <w:lang w:eastAsia="zh-CN"/>
        </w:rPr>
        <w:tab/>
      </w:r>
      <w:r w:rsidRPr="00987888">
        <w:rPr>
          <w:rFonts w:eastAsia="Times New Roman"/>
          <w:i/>
          <w:iCs/>
          <w:lang w:eastAsia="zh-CN"/>
        </w:rPr>
        <w:tab/>
        <w:t>________________</w:t>
      </w:r>
      <w:r w:rsidRPr="00987888">
        <w:rPr>
          <w:rFonts w:eastAsia="Times New Roman"/>
          <w:i/>
          <w:iCs/>
          <w:lang w:eastAsia="zh-CN"/>
        </w:rPr>
        <w:tab/>
      </w:r>
      <w:r w:rsidRPr="00987888">
        <w:rPr>
          <w:rFonts w:eastAsia="Times New Roman"/>
          <w:i/>
          <w:iCs/>
          <w:lang w:eastAsia="zh-CN"/>
        </w:rPr>
        <w:tab/>
        <w:t>__________________</w:t>
      </w:r>
    </w:p>
    <w:p w:rsidR="008379BB" w:rsidRPr="00987888" w:rsidRDefault="008379BB" w:rsidP="008379BB">
      <w:pPr>
        <w:jc w:val="both"/>
        <w:rPr>
          <w:rFonts w:eastAsia="Times New Roman"/>
          <w:bCs/>
          <w:lang w:eastAsia="zh-CN"/>
        </w:rPr>
      </w:pPr>
      <w:r w:rsidRPr="00987888">
        <w:rPr>
          <w:rFonts w:eastAsia="Times New Roman"/>
          <w:i/>
          <w:iCs/>
          <w:lang w:eastAsia="zh-CN"/>
        </w:rPr>
        <w:t>(Посада)</w:t>
      </w:r>
      <w:r w:rsidRPr="00987888">
        <w:rPr>
          <w:rFonts w:eastAsia="Times New Roman"/>
          <w:i/>
          <w:iCs/>
          <w:lang w:eastAsia="zh-CN"/>
        </w:rPr>
        <w:tab/>
      </w:r>
      <w:r w:rsidRPr="00987888">
        <w:rPr>
          <w:rFonts w:eastAsia="Times New Roman"/>
          <w:i/>
          <w:iCs/>
          <w:lang w:eastAsia="zh-CN"/>
        </w:rPr>
        <w:tab/>
      </w:r>
      <w:r w:rsidRPr="00987888">
        <w:rPr>
          <w:rFonts w:eastAsia="Times New Roman"/>
          <w:i/>
          <w:iCs/>
          <w:lang w:eastAsia="zh-CN"/>
        </w:rPr>
        <w:tab/>
      </w:r>
      <w:r w:rsidRPr="00987888">
        <w:rPr>
          <w:rFonts w:eastAsia="Times New Roman"/>
          <w:i/>
          <w:iCs/>
          <w:lang w:eastAsia="zh-CN"/>
        </w:rPr>
        <w:tab/>
      </w:r>
      <w:r w:rsidRPr="00987888">
        <w:rPr>
          <w:rFonts w:eastAsia="Times New Roman"/>
          <w:i/>
          <w:iCs/>
          <w:lang w:eastAsia="zh-CN"/>
        </w:rPr>
        <w:tab/>
        <w:t>(Підпис)</w:t>
      </w:r>
      <w:r w:rsidRPr="00987888">
        <w:rPr>
          <w:rFonts w:eastAsia="Times New Roman"/>
          <w:i/>
          <w:iCs/>
          <w:lang w:eastAsia="zh-CN"/>
        </w:rPr>
        <w:tab/>
      </w:r>
      <w:r w:rsidRPr="00987888">
        <w:rPr>
          <w:rFonts w:eastAsia="Times New Roman"/>
          <w:i/>
          <w:iCs/>
          <w:lang w:eastAsia="zh-CN"/>
        </w:rPr>
        <w:tab/>
      </w:r>
      <w:r w:rsidRPr="00987888">
        <w:rPr>
          <w:rFonts w:eastAsia="Times New Roman"/>
          <w:i/>
          <w:iCs/>
          <w:lang w:eastAsia="zh-CN"/>
        </w:rPr>
        <w:tab/>
        <w:t>(ПІБ)</w:t>
      </w:r>
    </w:p>
    <w:p w:rsidR="008379BB" w:rsidRPr="00987888" w:rsidRDefault="008379BB" w:rsidP="008379BB">
      <w:pPr>
        <w:jc w:val="both"/>
        <w:rPr>
          <w:rFonts w:eastAsia="Times New Roman"/>
          <w:bCs/>
          <w:lang w:eastAsia="zh-CN"/>
        </w:rPr>
      </w:pPr>
      <w:r w:rsidRPr="00987888">
        <w:rPr>
          <w:rFonts w:eastAsia="Times New Roman"/>
          <w:bCs/>
          <w:lang w:eastAsia="zh-CN"/>
        </w:rPr>
        <w:tab/>
        <w:t>МП</w:t>
      </w:r>
    </w:p>
    <w:p w:rsidR="006D2F24" w:rsidRDefault="006D2F24"/>
    <w:sectPr w:rsidR="006D2F24" w:rsidSect="008379BB">
      <w:pgSz w:w="12240" w:h="15840"/>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0B"/>
    <w:rsid w:val="006D2F24"/>
    <w:rsid w:val="00700F0B"/>
    <w:rsid w:val="008379BB"/>
    <w:rsid w:val="00BD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01C91-5BAC-4827-B6F0-5EEFD287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9BB"/>
    <w:pPr>
      <w:suppressAutoHyphens/>
      <w:spacing w:after="0" w:line="240" w:lineRule="auto"/>
    </w:pPr>
    <w:rPr>
      <w:rFonts w:ascii="Times New Roman" w:eastAsia="Calibri"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cp:lastModifiedBy>
  <cp:revision>2</cp:revision>
  <dcterms:created xsi:type="dcterms:W3CDTF">2025-01-03T11:46:00Z</dcterms:created>
  <dcterms:modified xsi:type="dcterms:W3CDTF">2025-01-03T11:46:00Z</dcterms:modified>
</cp:coreProperties>
</file>