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6C" w:rsidRDefault="009C41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</w:rPr>
      </w:pPr>
      <w:bookmarkStart w:id="0" w:name="_Hlk92869963"/>
      <w:bookmarkStart w:id="1" w:name="_Hlk94019944"/>
    </w:p>
    <w:p w:rsidR="009C416C" w:rsidRDefault="0034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МЕДИКО-ТЕХНІЧНІ ВИМОГИ</w:t>
      </w:r>
    </w:p>
    <w:p w:rsidR="009C416C" w:rsidRDefault="0034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Реактиви лабораторні</w:t>
      </w:r>
    </w:p>
    <w:p w:rsidR="009C416C" w:rsidRDefault="0034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код ДК 021:2015 - 33690000-3 Лікарські засоби різні</w:t>
      </w:r>
    </w:p>
    <w:tbl>
      <w:tblPr>
        <w:tblW w:w="21644" w:type="dxa"/>
        <w:tblInd w:w="-20" w:type="dxa"/>
        <w:tblLook w:val="04A0" w:firstRow="1" w:lastRow="0" w:firstColumn="1" w:lastColumn="0" w:noHBand="0" w:noVBand="1"/>
      </w:tblPr>
      <w:tblGrid>
        <w:gridCol w:w="20"/>
        <w:gridCol w:w="421"/>
        <w:gridCol w:w="6002"/>
        <w:gridCol w:w="1134"/>
        <w:gridCol w:w="567"/>
        <w:gridCol w:w="1314"/>
        <w:gridCol w:w="709"/>
        <w:gridCol w:w="1614"/>
        <w:gridCol w:w="8020"/>
        <w:gridCol w:w="1000"/>
        <w:gridCol w:w="843"/>
      </w:tblGrid>
      <w:tr w:rsidR="009C416C">
        <w:trPr>
          <w:gridBefore w:val="1"/>
          <w:gridAfter w:val="4"/>
          <w:wBefore w:w="20" w:type="dxa"/>
          <w:wAfter w:w="11477" w:type="dxa"/>
          <w:trHeight w:val="6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№ з/п</w:t>
            </w:r>
          </w:p>
        </w:tc>
        <w:tc>
          <w:tcPr>
            <w:tcW w:w="6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Назва предмету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закувівлі.Вимоги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 предмету закупівлі (форма випуску, дозування та кількість в упаковці,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вимоги та характеристики, вимоги до терміну придатності, виробника (якщо це принципово) та пояснення того, чому саме цього виробника, якщо неможлива заміна на еквівалент надати пояснення, тощо)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од. виміру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кіль-кість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ind w:right="43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очікувана ціна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сума</w:t>
            </w:r>
          </w:p>
        </w:tc>
      </w:tr>
      <w:tr w:rsidR="009C416C">
        <w:trPr>
          <w:gridBefore w:val="1"/>
          <w:gridAfter w:val="4"/>
          <w:wBefore w:w="20" w:type="dxa"/>
          <w:wAfter w:w="11477" w:type="dxa"/>
          <w:trHeight w:val="30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Набір реагентів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імуноферментного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визначення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хоріонічного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гонадотропіну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у сироватці (плазмі) крові "ХГ-ІФА" ELISA.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Сфера застосування: для лабораторної діагностики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vitro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імуноферментного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визначення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хоріонічного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гонадотропіну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людини (ХГЛ) у сир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оватці (плазмі) крові. Виробник: Товариство з обмеженою відповідальністю «ХЕМА», Україна.  Можлива заміна на еквівалент.  Кількість тестів у наборі:  96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тестів.Пакування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: Формат - 96-лунковий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мікротитровальний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планшет,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стрипи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що розділяються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breakable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усі реагенти - рідкі, готові до роботи, розлиті в зручні пластикові флакони з гвинтовою кришкою. Зручна, компактна та зносостійка упаковка. Має бути можливість зберігання калібрувальних проб та контрольної сироватки після розкриття флаконів при температур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і +2…+8°С на протязі  2 місяців та зберігання ІФА-Буфера,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кон’югата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субстрата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стоп-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реагента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після розкриття флаконів  при температурі +2…+8°С на протязі усього строку придатності Набору. Повинно допускатися одноразове заморожування калібрувальних проб 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контрольної сироватки в аліквотах. Не повинен потребувати додаткового визначення  оптичної густини реагенту. Дослідження повинні виконуватись без використання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шейкеру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На момент  постачання повинно залишатися не менш   ніж 70%  від  загального терміну при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датності.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набір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ind w:right="4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C416C">
        <w:trPr>
          <w:gridBefore w:val="1"/>
          <w:gridAfter w:val="4"/>
          <w:wBefore w:w="20" w:type="dxa"/>
          <w:wAfter w:w="11477" w:type="dxa"/>
          <w:trHeight w:val="29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Набір реагентів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імуноферментного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визначення альфа-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фетопротеїну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сироватцi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(плазмі)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кровi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"АФП-ІФА" ELISA.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Сфера застосування  Для лабораторної діагностики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vitro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імуноферментного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визначення альфа-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фетопротеїну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сироватцi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(плазмі)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кровi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Виробник: Товариство з обмеженою відповідальністю «ХЕМА», Україна.  Можлива заміна на еквівалент. Кількість тестів 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наборі:  96 тестів. Пакування: формат - 96-лунковий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мікропланшет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стрипи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що розділяються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breakable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), усі реагенти - рідкі, готові до роботи, розлиті в зручні пластикові флакони з гвинтовою кришкою, субстрат - однокомпонентний ТМБ. Зручна, компактна та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зносостійка упаковка. Має бути можливість зберігання калібрувальних проб та контрольної сироватки після розкриття флаконів при температурі +2…+8°С на протязі  2 місяців та зберігання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кон’югата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субстрата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стоп-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реагента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після розкриття флаконів  при темпер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атурі +2…+8°С на протязі усього строку придатності набору. Повинно допускатися одноразове заморожування калібрувальних проб та контрольної сироватки в аліквотах. Не повинен потребувати додаткового визначення  оптичної густини реагенту. Дослідження повинні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виконуватись без використання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шейкеру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На момент постачання повинно залишатися не менш ніж 70%  від  загального терміну придатності.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набір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ind w:right="4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C416C">
        <w:trPr>
          <w:gridBefore w:val="1"/>
          <w:gridAfter w:val="4"/>
          <w:wBefore w:w="20" w:type="dxa"/>
          <w:wAfter w:w="11477" w:type="dxa"/>
          <w:trHeight w:val="24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Набір реагентів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імуноферментного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визначення вільного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естріола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у сироватці (плазмі) крові ЕСТРІОЛ ВІЛЬНИЙ ELISA.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Сфера застосування:  для лабораторної діагностики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vitro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імуноферментного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визначення вільного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естріола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 сироватці (плазмі) крові.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Виробник: DRG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Instruments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GmbH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Germany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Номер згідно з каталогом EIA-1612. Заміна на еквівалент неможлива, що пов'язано з технологією та специфікою методів постановки лабораторних досліджень. Кількість тестів у наборі:  96 тестів. Пакування: формат - 96-л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унковий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мікротитровальний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планшет,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стрипи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що розділяються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breakable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усі реагенти - рідкі, готові до роботи, розлиті в зручні пластикові флакони з гвинтовою кришкою. Зручна, компактна та зносостійка упаковка. На момент  постачання повинно залишатися не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менш  ніж 70%  від  загального терміну придатності.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набір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ind w:right="4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C416C">
        <w:trPr>
          <w:gridBefore w:val="1"/>
          <w:gridAfter w:val="4"/>
          <w:wBefore w:w="20" w:type="dxa"/>
          <w:wAfter w:w="11477" w:type="dxa"/>
          <w:trHeight w:val="3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Набір реагентів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імуноферментного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визначення асоційованого з вагітністю білку плазми А (ПАББ-А) у сироватці (плазмі) крові "ПАББ-А-ІФА" ХЕМА  ELISA.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Сфера застосування:  Для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лабораторної діагностики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vitro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імуноферментного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визначення  асоційованого з вагітністю білку плазми А (ПАББ-А) у сироватці (плазмі)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кровi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Виробник: Товариство з обмеженою відповідальністю «ХЕМА», Україна. Номер за каталогом  REF К238. Можлива зам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іна на еквівалент.  Кількість тестів у наборі:  96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тестів.Пакування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: формат - 96-лунковий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мікропланшет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стрипи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що розділяються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breakable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усі реагенти - рідкі, готові до роботи, розлиті в зручні пластикові флакони з гвинтовою кришкою, субстрат - одноко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мпонентний ТМБ. Зручна, компактна та зносостійка упаковка. Має бути можливість зберігання калібрувальних проб та контрольної сироватки після розкриття флаконів при температурі +2…+8°С на протязі  2 місяців та зберігання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кон’югата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субстрата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стоп-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реагента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після розкриття флаконів  при температурі +2…+8°С на протязі усього строку придатності набору. Не повинен потребувати додаткового визначення  оптичної густини реагенту. Дослідження повинні виконуватись без використання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шейкеру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На момент постачання повинно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залишатися не менш ніж 70% від  загального терміну придатності. Код "Класифікатора медичних виробів"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набір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ind w:right="4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C416C">
        <w:trPr>
          <w:gridBefore w:val="1"/>
          <w:gridAfter w:val="4"/>
          <w:wBefore w:w="20" w:type="dxa"/>
          <w:wAfter w:w="11477" w:type="dxa"/>
          <w:trHeight w:val="32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Набір реагентів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імуноферментного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визначення вільного бета-ланцюга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хоріонічного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гонадотропіну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у сироватці (плазмі) крові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.(бета)-ХГ"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ХЕМА  ELISA.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Сфера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застовуання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: Для лабораторної діагностики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vitro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Виробник: Товариство з обмеженою відповідальністю «ХЕМА», Україна. Номер за каталогом  REF К235. Можлива заміна на еквівалент. Кількість тестів у наборі:  96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тестів.Пакування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формат 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96-лунковий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мікропланшет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стрипи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що розділяються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breakable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усі реагенти - рідкі, готові до роботи, розлиті в зручні пластикові флакони з гвинтовою кришкою, субстрат - однокомпонентний ТМБ. Зручна, компактна та зносостійка упаковка. Має бути можливіст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ь зберігання калібрувальних проб та контрольної сироватки після розкриття флаконів при температурі +2…+8°С на протязі усього строку придатності набору та зберігання ІФА-Буфера,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кон’югата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субстрата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стоп-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реагента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після розкриття флаконів  при температурі +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2…+8°С на протязі усього строку придатності набору. Не повинен потребувати додаткового визначення  оптичної густини реагенту. Дослідження повинні виконуватись без використання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шейкеру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На момент постачання повинно залишатися не менш ніж 70% від  загального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терміну придатності.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набір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ind w:right="4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16C" w:rsidRDefault="00344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C416C">
        <w:trPr>
          <w:gridBefore w:val="1"/>
          <w:gridAfter w:val="4"/>
          <w:wBefore w:w="20" w:type="dxa"/>
          <w:wAfter w:w="11477" w:type="dxa"/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16C" w:rsidRDefault="009C41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16C" w:rsidRDefault="009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16C" w:rsidRDefault="009C4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16C" w:rsidRDefault="009C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16C" w:rsidRDefault="009C416C">
            <w:pPr>
              <w:spacing w:after="0" w:line="240" w:lineRule="auto"/>
              <w:ind w:right="4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16C" w:rsidRDefault="009C4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16C">
        <w:trPr>
          <w:trHeight w:val="300"/>
        </w:trPr>
        <w:tc>
          <w:tcPr>
            <w:tcW w:w="11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16C" w:rsidRDefault="009C416C">
            <w:pPr>
              <w:spacing w:line="240" w:lineRule="auto"/>
              <w:rPr>
                <w:rFonts w:cs="Times New Roman"/>
                <w:lang w:eastAsia="ru-RU"/>
              </w:rPr>
            </w:pPr>
          </w:p>
          <w:p w:rsidR="009C416C" w:rsidRDefault="009C416C">
            <w:pPr>
              <w:spacing w:line="240" w:lineRule="auto"/>
              <w:rPr>
                <w:rFonts w:cs="Times New Roman"/>
                <w:lang w:eastAsia="ru-RU"/>
              </w:rPr>
            </w:pPr>
          </w:p>
          <w:p w:rsidR="009C416C" w:rsidRDefault="009C416C">
            <w:pPr>
              <w:spacing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16C" w:rsidRDefault="009C416C">
            <w:pPr>
              <w:spacing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16C" w:rsidRDefault="009C416C">
            <w:pPr>
              <w:spacing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416C" w:rsidRDefault="009C416C">
            <w:pPr>
              <w:spacing w:line="240" w:lineRule="auto"/>
              <w:rPr>
                <w:rFonts w:cs="Times New Roman"/>
                <w:lang w:eastAsia="ru-RU"/>
              </w:rPr>
            </w:pPr>
          </w:p>
        </w:tc>
      </w:tr>
    </w:tbl>
    <w:p w:rsidR="009C416C" w:rsidRDefault="003443F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Усі посилання на конкретні торговельну марку чи фірму, патент, конструкцію або тип предмета закупівлі, джерело його походження або виробника, вважати такими, що містять вираз "або еквівалент".</w:t>
      </w:r>
    </w:p>
    <w:p w:rsidR="009C416C" w:rsidRDefault="009C416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iCs/>
        </w:rPr>
      </w:pPr>
    </w:p>
    <w:p w:rsidR="009C416C" w:rsidRDefault="003443F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 повинен</w:t>
      </w:r>
      <w:r>
        <w:rPr>
          <w:rFonts w:ascii="Times New Roman" w:hAnsi="Times New Roman" w:cs="Times New Roman"/>
        </w:rPr>
        <w:t xml:space="preserve"> відвантажуватися ПОСТАЧАЛЬНИКОМ з таким розрахунком, щоб на момент його постачання залишалося не менш ніж 70% (сімдесят відсотків) від його терміну придатності  У разі, якщо термін придатності Товару на момент поставки становить менше 70%, поставка такого</w:t>
      </w:r>
      <w:r>
        <w:rPr>
          <w:rFonts w:ascii="Times New Roman" w:hAnsi="Times New Roman" w:cs="Times New Roman"/>
        </w:rPr>
        <w:t xml:space="preserve"> Товару може здійснюватися за письмовою згодою Замовника (</w:t>
      </w:r>
      <w:r>
        <w:rPr>
          <w:rFonts w:ascii="Times New Roman" w:hAnsi="Times New Roman" w:cs="Times New Roman"/>
          <w:i/>
        </w:rPr>
        <w:t>у складі тендерної пропозиції надати гарантійний лист від імені Учасника</w:t>
      </w:r>
      <w:r>
        <w:rPr>
          <w:rFonts w:ascii="Times New Roman" w:hAnsi="Times New Roman" w:cs="Times New Roman"/>
        </w:rPr>
        <w:t xml:space="preserve">). </w:t>
      </w:r>
    </w:p>
    <w:p w:rsidR="009C416C" w:rsidRDefault="003443FC">
      <w:pPr>
        <w:spacing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Учасник вправі запропонувати еквівалент препарату,  зазначеному в специфікації. В разі подання еквіваленту, що закуповуєть</w:t>
      </w:r>
      <w:r>
        <w:rPr>
          <w:rFonts w:ascii="Times New Roman" w:hAnsi="Times New Roman" w:cs="Times New Roman"/>
          <w:lang w:eastAsia="ru-RU"/>
        </w:rPr>
        <w:t>ся, учасник повинен детально розписати порівняльну характеристику по представленому препарату.</w:t>
      </w:r>
    </w:p>
    <w:p w:rsidR="009C416C" w:rsidRDefault="003443FC">
      <w:pPr>
        <w:spacing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Товар має бути в упаковці підприємства-виробника, яка не повинна бути деформована або пошкодженою.</w:t>
      </w:r>
    </w:p>
    <w:p w:rsidR="009C416C" w:rsidRDefault="003443FC">
      <w:pPr>
        <w:spacing w:line="240" w:lineRule="auto"/>
        <w:ind w:firstLine="70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lang w:eastAsia="ru-RU"/>
        </w:rPr>
        <w:t xml:space="preserve">Якість товару має відповідати вимогам національних та міжнародних стандартів, що має бути підтверджене на момент поставки сертифікатами якості (відповідності) виробника. </w:t>
      </w:r>
    </w:p>
    <w:p w:rsidR="009C416C" w:rsidRDefault="003443FC">
      <w:pPr>
        <w:pStyle w:val="af4"/>
        <w:spacing w:beforeAutospacing="0" w:afterAutospacing="0"/>
        <w:ind w:firstLine="709"/>
        <w:jc w:val="both"/>
        <w:rPr>
          <w:lang w:eastAsia="ar-SA"/>
        </w:rPr>
      </w:pPr>
      <w:r>
        <w:rPr>
          <w:b/>
          <w:lang w:eastAsia="ar-SA"/>
        </w:rPr>
        <w:t xml:space="preserve">Ми (Я), _________________ у разі отримання повідомлення про намір укласти договір та </w:t>
      </w:r>
      <w:r>
        <w:rPr>
          <w:b/>
          <w:lang w:eastAsia="ar-SA"/>
        </w:rPr>
        <w:t>укладення Договору  із Замовником про поставку Товару згодні та підтверджуємо свою можливість і готовність виконувати усі Технічні вимоги Замовника, зазначені у цій тендерній документації</w:t>
      </w:r>
      <w:r>
        <w:rPr>
          <w:lang w:eastAsia="ar-SA"/>
        </w:rPr>
        <w:t>.</w:t>
      </w:r>
    </w:p>
    <w:p w:rsidR="009C416C" w:rsidRDefault="003443FC">
      <w:pPr>
        <w:spacing w:line="240" w:lineRule="auto"/>
        <w:ind w:firstLine="426"/>
        <w:jc w:val="both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                 </w:t>
      </w:r>
    </w:p>
    <w:p w:rsidR="009C416C" w:rsidRDefault="003443FC">
      <w:pPr>
        <w:spacing w:line="240" w:lineRule="auto"/>
        <w:ind w:firstLine="426"/>
        <w:jc w:val="both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Дата: _____________                              </w:t>
      </w:r>
      <w:r>
        <w:rPr>
          <w:rFonts w:ascii="Times New Roman" w:hAnsi="Times New Roman" w:cs="Times New Roman"/>
          <w:b/>
          <w:lang w:eastAsia="ar-SA"/>
        </w:rPr>
        <w:t xml:space="preserve">           ________________ (підпис)</w:t>
      </w:r>
    </w:p>
    <w:p w:rsidR="009C416C" w:rsidRDefault="009C4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C416C" w:rsidRDefault="003443FC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:rsidR="009C416C" w:rsidRDefault="009C416C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C416C" w:rsidRDefault="009C416C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C416C" w:rsidRDefault="009C416C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C416C" w:rsidRDefault="009C416C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C416C" w:rsidRDefault="009C416C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C416C" w:rsidRDefault="009C416C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C416C" w:rsidRDefault="009C416C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C416C" w:rsidRDefault="009C416C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C416C" w:rsidRDefault="009C416C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C416C" w:rsidRDefault="009C416C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C416C" w:rsidRDefault="009C416C">
      <w:pPr>
        <w:spacing w:after="0" w:line="240" w:lineRule="auto"/>
        <w:rPr>
          <w:rFonts w:ascii="Times New Roman" w:hAnsi="Times New Roman" w:cs="Times New Roman"/>
          <w:bCs/>
        </w:rPr>
      </w:pPr>
      <w:bookmarkStart w:id="2" w:name="_GoBack"/>
      <w:bookmarkEnd w:id="0"/>
      <w:bookmarkEnd w:id="1"/>
      <w:bookmarkEnd w:id="2"/>
    </w:p>
    <w:sectPr w:rsidR="009C416C">
      <w:footerReference w:type="default" r:id="rId8"/>
      <w:headerReference w:type="first" r:id="rId9"/>
      <w:footerReference w:type="first" r:id="rId10"/>
      <w:pgSz w:w="11906" w:h="16838"/>
      <w:pgMar w:top="284" w:right="1700" w:bottom="680" w:left="56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FC" w:rsidRDefault="003443FC">
      <w:pPr>
        <w:spacing w:line="240" w:lineRule="auto"/>
      </w:pPr>
      <w:r>
        <w:separator/>
      </w:r>
    </w:p>
  </w:endnote>
  <w:endnote w:type="continuationSeparator" w:id="0">
    <w:p w:rsidR="003443FC" w:rsidRDefault="00344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urier New"/>
    <w:charset w:val="00"/>
    <w:family w:val="roman"/>
    <w:pitch w:val="default"/>
  </w:font>
  <w:font w:name="AdverGothic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Calibri-Italic">
    <w:altName w:val="Calibri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16C" w:rsidRDefault="003443FC">
    <w:pPr>
      <w:jc w:val="right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247B93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16C" w:rsidRDefault="009C416C">
    <w:pPr>
      <w:ind w:right="42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FC" w:rsidRDefault="003443FC">
      <w:pPr>
        <w:spacing w:after="0"/>
      </w:pPr>
      <w:r>
        <w:separator/>
      </w:r>
    </w:p>
  </w:footnote>
  <w:footnote w:type="continuationSeparator" w:id="0">
    <w:p w:rsidR="003443FC" w:rsidRDefault="003443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16C" w:rsidRDefault="009C416C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CA01378"/>
    <w:multiLevelType w:val="singleLevel"/>
    <w:tmpl w:val="FCA01378"/>
    <w:lvl w:ilvl="0">
      <w:start w:val="13"/>
      <w:numFmt w:val="decimal"/>
      <w:suff w:val="space"/>
      <w:lvlText w:val="%1."/>
      <w:lvlJc w:val="left"/>
      <w:pPr>
        <w:ind w:left="251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64"/>
    <w:rsid w:val="000053FB"/>
    <w:rsid w:val="00005E52"/>
    <w:rsid w:val="00010BE3"/>
    <w:rsid w:val="00023B7B"/>
    <w:rsid w:val="00024564"/>
    <w:rsid w:val="00027A79"/>
    <w:rsid w:val="000313D3"/>
    <w:rsid w:val="00031975"/>
    <w:rsid w:val="00036286"/>
    <w:rsid w:val="000417D2"/>
    <w:rsid w:val="000462F0"/>
    <w:rsid w:val="00061706"/>
    <w:rsid w:val="000631E0"/>
    <w:rsid w:val="000657E1"/>
    <w:rsid w:val="0006595A"/>
    <w:rsid w:val="00070856"/>
    <w:rsid w:val="00074899"/>
    <w:rsid w:val="0007646E"/>
    <w:rsid w:val="00083F89"/>
    <w:rsid w:val="00084068"/>
    <w:rsid w:val="00085A22"/>
    <w:rsid w:val="00086FC8"/>
    <w:rsid w:val="000870E7"/>
    <w:rsid w:val="000902FE"/>
    <w:rsid w:val="0009415B"/>
    <w:rsid w:val="00095A25"/>
    <w:rsid w:val="000A59F3"/>
    <w:rsid w:val="000A6A24"/>
    <w:rsid w:val="000B2264"/>
    <w:rsid w:val="000B48F1"/>
    <w:rsid w:val="000C6174"/>
    <w:rsid w:val="000D27D0"/>
    <w:rsid w:val="000D3DAD"/>
    <w:rsid w:val="000D5150"/>
    <w:rsid w:val="000E4827"/>
    <w:rsid w:val="000E68B3"/>
    <w:rsid w:val="000F72AD"/>
    <w:rsid w:val="000F7E73"/>
    <w:rsid w:val="00101ECC"/>
    <w:rsid w:val="001024A6"/>
    <w:rsid w:val="00112FAF"/>
    <w:rsid w:val="00115441"/>
    <w:rsid w:val="00115CB7"/>
    <w:rsid w:val="00122A08"/>
    <w:rsid w:val="001249E2"/>
    <w:rsid w:val="0013107E"/>
    <w:rsid w:val="00136429"/>
    <w:rsid w:val="00137D83"/>
    <w:rsid w:val="00143B7C"/>
    <w:rsid w:val="001452C3"/>
    <w:rsid w:val="00151070"/>
    <w:rsid w:val="00153382"/>
    <w:rsid w:val="001542CD"/>
    <w:rsid w:val="001553DB"/>
    <w:rsid w:val="001615DC"/>
    <w:rsid w:val="00161CF5"/>
    <w:rsid w:val="0016362C"/>
    <w:rsid w:val="001701A8"/>
    <w:rsid w:val="00171D8F"/>
    <w:rsid w:val="00172D67"/>
    <w:rsid w:val="001751DB"/>
    <w:rsid w:val="0017614D"/>
    <w:rsid w:val="0018137E"/>
    <w:rsid w:val="00181DE8"/>
    <w:rsid w:val="001822B2"/>
    <w:rsid w:val="00182E64"/>
    <w:rsid w:val="00190010"/>
    <w:rsid w:val="0019058F"/>
    <w:rsid w:val="00193598"/>
    <w:rsid w:val="00195672"/>
    <w:rsid w:val="001A09DF"/>
    <w:rsid w:val="001A0EFA"/>
    <w:rsid w:val="001A436E"/>
    <w:rsid w:val="001A4D3C"/>
    <w:rsid w:val="001A5132"/>
    <w:rsid w:val="001A670A"/>
    <w:rsid w:val="001A7587"/>
    <w:rsid w:val="001B6303"/>
    <w:rsid w:val="001C3983"/>
    <w:rsid w:val="001C52F1"/>
    <w:rsid w:val="001C7E3E"/>
    <w:rsid w:val="001D2590"/>
    <w:rsid w:val="001D3924"/>
    <w:rsid w:val="001D67C0"/>
    <w:rsid w:val="001D7AA4"/>
    <w:rsid w:val="001E52BE"/>
    <w:rsid w:val="001E531F"/>
    <w:rsid w:val="001E68EC"/>
    <w:rsid w:val="001E719B"/>
    <w:rsid w:val="001E7E88"/>
    <w:rsid w:val="00200B27"/>
    <w:rsid w:val="0020377F"/>
    <w:rsid w:val="00207074"/>
    <w:rsid w:val="00212622"/>
    <w:rsid w:val="002139FF"/>
    <w:rsid w:val="00217850"/>
    <w:rsid w:val="00221253"/>
    <w:rsid w:val="00221293"/>
    <w:rsid w:val="002222F8"/>
    <w:rsid w:val="0022353C"/>
    <w:rsid w:val="002265A4"/>
    <w:rsid w:val="00230045"/>
    <w:rsid w:val="00234E8A"/>
    <w:rsid w:val="00236222"/>
    <w:rsid w:val="00236FEE"/>
    <w:rsid w:val="00241EAB"/>
    <w:rsid w:val="0024759C"/>
    <w:rsid w:val="00247B93"/>
    <w:rsid w:val="0025078F"/>
    <w:rsid w:val="00254B3A"/>
    <w:rsid w:val="00255485"/>
    <w:rsid w:val="00265A2B"/>
    <w:rsid w:val="00266FFC"/>
    <w:rsid w:val="00267CB6"/>
    <w:rsid w:val="00273AFE"/>
    <w:rsid w:val="002764FB"/>
    <w:rsid w:val="00290AFF"/>
    <w:rsid w:val="00292763"/>
    <w:rsid w:val="00293C4D"/>
    <w:rsid w:val="002940FE"/>
    <w:rsid w:val="00296924"/>
    <w:rsid w:val="002A4099"/>
    <w:rsid w:val="002B12A3"/>
    <w:rsid w:val="002B66B7"/>
    <w:rsid w:val="002C0702"/>
    <w:rsid w:val="002C3ECB"/>
    <w:rsid w:val="002D09BB"/>
    <w:rsid w:val="002D27AC"/>
    <w:rsid w:val="002D43E8"/>
    <w:rsid w:val="002E3741"/>
    <w:rsid w:val="002E3FB7"/>
    <w:rsid w:val="002F2CF0"/>
    <w:rsid w:val="002F528D"/>
    <w:rsid w:val="002F53F3"/>
    <w:rsid w:val="002F5420"/>
    <w:rsid w:val="002F6ABA"/>
    <w:rsid w:val="002F6F63"/>
    <w:rsid w:val="002F7409"/>
    <w:rsid w:val="00300BB4"/>
    <w:rsid w:val="00302283"/>
    <w:rsid w:val="0030354E"/>
    <w:rsid w:val="00304AA0"/>
    <w:rsid w:val="00314185"/>
    <w:rsid w:val="00317AA3"/>
    <w:rsid w:val="0032449A"/>
    <w:rsid w:val="003258BF"/>
    <w:rsid w:val="0033090F"/>
    <w:rsid w:val="0033368B"/>
    <w:rsid w:val="0034327C"/>
    <w:rsid w:val="003432B5"/>
    <w:rsid w:val="00344104"/>
    <w:rsid w:val="003443FC"/>
    <w:rsid w:val="00345450"/>
    <w:rsid w:val="003518B4"/>
    <w:rsid w:val="00351D64"/>
    <w:rsid w:val="00356AD1"/>
    <w:rsid w:val="0035781C"/>
    <w:rsid w:val="00361CD0"/>
    <w:rsid w:val="00366BF5"/>
    <w:rsid w:val="00372D22"/>
    <w:rsid w:val="0037320F"/>
    <w:rsid w:val="00373964"/>
    <w:rsid w:val="003806E5"/>
    <w:rsid w:val="00390A5B"/>
    <w:rsid w:val="0039482B"/>
    <w:rsid w:val="00396D2B"/>
    <w:rsid w:val="003A2B6F"/>
    <w:rsid w:val="003A5CDA"/>
    <w:rsid w:val="003A7798"/>
    <w:rsid w:val="003B2601"/>
    <w:rsid w:val="003B5046"/>
    <w:rsid w:val="003C12CA"/>
    <w:rsid w:val="003C270B"/>
    <w:rsid w:val="003C6072"/>
    <w:rsid w:val="003C6B54"/>
    <w:rsid w:val="003D4AD2"/>
    <w:rsid w:val="003D587A"/>
    <w:rsid w:val="003D62FB"/>
    <w:rsid w:val="003D7277"/>
    <w:rsid w:val="003E20AB"/>
    <w:rsid w:val="003E6FC6"/>
    <w:rsid w:val="003F18E6"/>
    <w:rsid w:val="003F36A6"/>
    <w:rsid w:val="003F6101"/>
    <w:rsid w:val="003F6150"/>
    <w:rsid w:val="004007FB"/>
    <w:rsid w:val="00402101"/>
    <w:rsid w:val="00403723"/>
    <w:rsid w:val="00406A60"/>
    <w:rsid w:val="00414C21"/>
    <w:rsid w:val="00424FF9"/>
    <w:rsid w:val="004272F7"/>
    <w:rsid w:val="00430C9D"/>
    <w:rsid w:val="0043270A"/>
    <w:rsid w:val="00433AC8"/>
    <w:rsid w:val="00434B2D"/>
    <w:rsid w:val="004361FF"/>
    <w:rsid w:val="00436306"/>
    <w:rsid w:val="00436DF4"/>
    <w:rsid w:val="00444959"/>
    <w:rsid w:val="00446629"/>
    <w:rsid w:val="00450D55"/>
    <w:rsid w:val="004579EC"/>
    <w:rsid w:val="00460F04"/>
    <w:rsid w:val="00466144"/>
    <w:rsid w:val="00470CAC"/>
    <w:rsid w:val="0047288C"/>
    <w:rsid w:val="00477579"/>
    <w:rsid w:val="00477C2B"/>
    <w:rsid w:val="00481FC8"/>
    <w:rsid w:val="004821E9"/>
    <w:rsid w:val="00482C2B"/>
    <w:rsid w:val="00492940"/>
    <w:rsid w:val="00494667"/>
    <w:rsid w:val="00495BF6"/>
    <w:rsid w:val="0049636C"/>
    <w:rsid w:val="004A2CCA"/>
    <w:rsid w:val="004A4843"/>
    <w:rsid w:val="004B77EA"/>
    <w:rsid w:val="004B7BC4"/>
    <w:rsid w:val="004C2C31"/>
    <w:rsid w:val="004D0559"/>
    <w:rsid w:val="004E7F8C"/>
    <w:rsid w:val="004F129D"/>
    <w:rsid w:val="004F1A5B"/>
    <w:rsid w:val="004F538A"/>
    <w:rsid w:val="004F5717"/>
    <w:rsid w:val="004F57C8"/>
    <w:rsid w:val="00501320"/>
    <w:rsid w:val="005024A2"/>
    <w:rsid w:val="00502BCA"/>
    <w:rsid w:val="005039E0"/>
    <w:rsid w:val="00505EB4"/>
    <w:rsid w:val="00506CCA"/>
    <w:rsid w:val="005202F8"/>
    <w:rsid w:val="005210D3"/>
    <w:rsid w:val="00521C79"/>
    <w:rsid w:val="0052382B"/>
    <w:rsid w:val="00525E12"/>
    <w:rsid w:val="00530910"/>
    <w:rsid w:val="0053711D"/>
    <w:rsid w:val="00546C42"/>
    <w:rsid w:val="00546FE2"/>
    <w:rsid w:val="005575AA"/>
    <w:rsid w:val="00563329"/>
    <w:rsid w:val="005641FD"/>
    <w:rsid w:val="005646AE"/>
    <w:rsid w:val="0057035C"/>
    <w:rsid w:val="00574039"/>
    <w:rsid w:val="00577C4C"/>
    <w:rsid w:val="00582868"/>
    <w:rsid w:val="00585466"/>
    <w:rsid w:val="005863ED"/>
    <w:rsid w:val="00586D97"/>
    <w:rsid w:val="005920CD"/>
    <w:rsid w:val="0059366B"/>
    <w:rsid w:val="00596173"/>
    <w:rsid w:val="005A16F6"/>
    <w:rsid w:val="005A65B3"/>
    <w:rsid w:val="005B04D8"/>
    <w:rsid w:val="005B19C7"/>
    <w:rsid w:val="005B2111"/>
    <w:rsid w:val="005B31D7"/>
    <w:rsid w:val="005B3744"/>
    <w:rsid w:val="005B651F"/>
    <w:rsid w:val="005C218B"/>
    <w:rsid w:val="005C3572"/>
    <w:rsid w:val="005D5257"/>
    <w:rsid w:val="005E0CFD"/>
    <w:rsid w:val="005F09EF"/>
    <w:rsid w:val="005F25B4"/>
    <w:rsid w:val="005F3333"/>
    <w:rsid w:val="005F3A8C"/>
    <w:rsid w:val="00600EBA"/>
    <w:rsid w:val="00602F60"/>
    <w:rsid w:val="00606A1D"/>
    <w:rsid w:val="00613A32"/>
    <w:rsid w:val="00613F15"/>
    <w:rsid w:val="00615DA8"/>
    <w:rsid w:val="00622626"/>
    <w:rsid w:val="00623B5E"/>
    <w:rsid w:val="00626323"/>
    <w:rsid w:val="00630EA9"/>
    <w:rsid w:val="006339C6"/>
    <w:rsid w:val="00633A82"/>
    <w:rsid w:val="006357C9"/>
    <w:rsid w:val="00637FA2"/>
    <w:rsid w:val="0064651C"/>
    <w:rsid w:val="00647424"/>
    <w:rsid w:val="00654B7E"/>
    <w:rsid w:val="00655688"/>
    <w:rsid w:val="006631B3"/>
    <w:rsid w:val="00670381"/>
    <w:rsid w:val="00671612"/>
    <w:rsid w:val="006719EC"/>
    <w:rsid w:val="006753C2"/>
    <w:rsid w:val="006773F1"/>
    <w:rsid w:val="00681009"/>
    <w:rsid w:val="00681EA6"/>
    <w:rsid w:val="00690E38"/>
    <w:rsid w:val="00695D56"/>
    <w:rsid w:val="006A1B9C"/>
    <w:rsid w:val="006A3FBB"/>
    <w:rsid w:val="006A5201"/>
    <w:rsid w:val="006A5401"/>
    <w:rsid w:val="006B1D59"/>
    <w:rsid w:val="006B1D9A"/>
    <w:rsid w:val="006B35DB"/>
    <w:rsid w:val="006B4398"/>
    <w:rsid w:val="006B75F8"/>
    <w:rsid w:val="006C0585"/>
    <w:rsid w:val="006C1F7E"/>
    <w:rsid w:val="006C5ACD"/>
    <w:rsid w:val="006C60C1"/>
    <w:rsid w:val="006C7A90"/>
    <w:rsid w:val="006D199B"/>
    <w:rsid w:val="006D3D9B"/>
    <w:rsid w:val="006D494F"/>
    <w:rsid w:val="006D4F9C"/>
    <w:rsid w:val="006E05FF"/>
    <w:rsid w:val="006E1A2D"/>
    <w:rsid w:val="006E218C"/>
    <w:rsid w:val="006E38CA"/>
    <w:rsid w:val="006E7C6B"/>
    <w:rsid w:val="006F348C"/>
    <w:rsid w:val="006F4D35"/>
    <w:rsid w:val="006F7CB5"/>
    <w:rsid w:val="00703D62"/>
    <w:rsid w:val="0071240F"/>
    <w:rsid w:val="0071605E"/>
    <w:rsid w:val="007207C1"/>
    <w:rsid w:val="00720B6C"/>
    <w:rsid w:val="00722D0C"/>
    <w:rsid w:val="007234BD"/>
    <w:rsid w:val="00732D47"/>
    <w:rsid w:val="0074137C"/>
    <w:rsid w:val="007415ED"/>
    <w:rsid w:val="00744657"/>
    <w:rsid w:val="00745EB3"/>
    <w:rsid w:val="00747614"/>
    <w:rsid w:val="00750881"/>
    <w:rsid w:val="00753050"/>
    <w:rsid w:val="0075557A"/>
    <w:rsid w:val="00756A22"/>
    <w:rsid w:val="00757837"/>
    <w:rsid w:val="0076317E"/>
    <w:rsid w:val="00763694"/>
    <w:rsid w:val="00766BBB"/>
    <w:rsid w:val="0078174B"/>
    <w:rsid w:val="00785DD5"/>
    <w:rsid w:val="007873F8"/>
    <w:rsid w:val="00790FE8"/>
    <w:rsid w:val="00791272"/>
    <w:rsid w:val="00792125"/>
    <w:rsid w:val="007956C7"/>
    <w:rsid w:val="007A1385"/>
    <w:rsid w:val="007A13A0"/>
    <w:rsid w:val="007A2924"/>
    <w:rsid w:val="007A3EAF"/>
    <w:rsid w:val="007A5162"/>
    <w:rsid w:val="007A59C0"/>
    <w:rsid w:val="007A636F"/>
    <w:rsid w:val="007A6AAF"/>
    <w:rsid w:val="007B20B3"/>
    <w:rsid w:val="007B2475"/>
    <w:rsid w:val="007B4A61"/>
    <w:rsid w:val="007B7CC7"/>
    <w:rsid w:val="007C5359"/>
    <w:rsid w:val="007C6B55"/>
    <w:rsid w:val="007D0B19"/>
    <w:rsid w:val="007E0B34"/>
    <w:rsid w:val="007E0CAA"/>
    <w:rsid w:val="007E3FFB"/>
    <w:rsid w:val="007E59E0"/>
    <w:rsid w:val="007E7D0D"/>
    <w:rsid w:val="007F14AC"/>
    <w:rsid w:val="007F1600"/>
    <w:rsid w:val="007F351E"/>
    <w:rsid w:val="007F5287"/>
    <w:rsid w:val="008018EB"/>
    <w:rsid w:val="0080327B"/>
    <w:rsid w:val="00803F70"/>
    <w:rsid w:val="0080625B"/>
    <w:rsid w:val="00806343"/>
    <w:rsid w:val="00811394"/>
    <w:rsid w:val="00812A91"/>
    <w:rsid w:val="008131FA"/>
    <w:rsid w:val="0081331A"/>
    <w:rsid w:val="00813E81"/>
    <w:rsid w:val="00815918"/>
    <w:rsid w:val="008226B9"/>
    <w:rsid w:val="00826E3E"/>
    <w:rsid w:val="0082783F"/>
    <w:rsid w:val="00827C76"/>
    <w:rsid w:val="008329D7"/>
    <w:rsid w:val="008332BE"/>
    <w:rsid w:val="00836888"/>
    <w:rsid w:val="008412AE"/>
    <w:rsid w:val="0084211B"/>
    <w:rsid w:val="00844D9A"/>
    <w:rsid w:val="0084607C"/>
    <w:rsid w:val="00851E78"/>
    <w:rsid w:val="00852080"/>
    <w:rsid w:val="00852633"/>
    <w:rsid w:val="0085458D"/>
    <w:rsid w:val="00854677"/>
    <w:rsid w:val="0085759A"/>
    <w:rsid w:val="00861236"/>
    <w:rsid w:val="00862931"/>
    <w:rsid w:val="008633BE"/>
    <w:rsid w:val="00870748"/>
    <w:rsid w:val="00874164"/>
    <w:rsid w:val="00877E8E"/>
    <w:rsid w:val="00887ABC"/>
    <w:rsid w:val="00896177"/>
    <w:rsid w:val="008A346F"/>
    <w:rsid w:val="008A35D6"/>
    <w:rsid w:val="008A6730"/>
    <w:rsid w:val="008A7CCB"/>
    <w:rsid w:val="008B55FB"/>
    <w:rsid w:val="008C29C5"/>
    <w:rsid w:val="008C6DB6"/>
    <w:rsid w:val="008C7642"/>
    <w:rsid w:val="008D6A3B"/>
    <w:rsid w:val="008D717A"/>
    <w:rsid w:val="008E2C2F"/>
    <w:rsid w:val="008E3932"/>
    <w:rsid w:val="008E3A53"/>
    <w:rsid w:val="008E48BE"/>
    <w:rsid w:val="008E6362"/>
    <w:rsid w:val="008E6A84"/>
    <w:rsid w:val="008F1AA9"/>
    <w:rsid w:val="008F5718"/>
    <w:rsid w:val="008F60B3"/>
    <w:rsid w:val="009000B9"/>
    <w:rsid w:val="00901C16"/>
    <w:rsid w:val="009037AB"/>
    <w:rsid w:val="009076E1"/>
    <w:rsid w:val="00914A3C"/>
    <w:rsid w:val="00920DB7"/>
    <w:rsid w:val="009211E6"/>
    <w:rsid w:val="00921226"/>
    <w:rsid w:val="009226E0"/>
    <w:rsid w:val="009250B3"/>
    <w:rsid w:val="00927887"/>
    <w:rsid w:val="00935224"/>
    <w:rsid w:val="00941D70"/>
    <w:rsid w:val="0095096B"/>
    <w:rsid w:val="009566F4"/>
    <w:rsid w:val="009606CB"/>
    <w:rsid w:val="00961795"/>
    <w:rsid w:val="009617AC"/>
    <w:rsid w:val="009649AA"/>
    <w:rsid w:val="00965546"/>
    <w:rsid w:val="0096596F"/>
    <w:rsid w:val="00972AB5"/>
    <w:rsid w:val="00974387"/>
    <w:rsid w:val="009805B7"/>
    <w:rsid w:val="0098203E"/>
    <w:rsid w:val="00984039"/>
    <w:rsid w:val="00985944"/>
    <w:rsid w:val="009875BF"/>
    <w:rsid w:val="009A0679"/>
    <w:rsid w:val="009A3E0A"/>
    <w:rsid w:val="009A5BBA"/>
    <w:rsid w:val="009B315E"/>
    <w:rsid w:val="009B7A9A"/>
    <w:rsid w:val="009B7ABA"/>
    <w:rsid w:val="009C1A5E"/>
    <w:rsid w:val="009C2287"/>
    <w:rsid w:val="009C3D92"/>
    <w:rsid w:val="009C416C"/>
    <w:rsid w:val="009C4714"/>
    <w:rsid w:val="009C6A95"/>
    <w:rsid w:val="009D0007"/>
    <w:rsid w:val="009D1687"/>
    <w:rsid w:val="009D3030"/>
    <w:rsid w:val="009D65F4"/>
    <w:rsid w:val="009F37EC"/>
    <w:rsid w:val="009F40EC"/>
    <w:rsid w:val="009F6309"/>
    <w:rsid w:val="009F6E01"/>
    <w:rsid w:val="00A0193E"/>
    <w:rsid w:val="00A04308"/>
    <w:rsid w:val="00A10FB7"/>
    <w:rsid w:val="00A13282"/>
    <w:rsid w:val="00A14CC7"/>
    <w:rsid w:val="00A154B1"/>
    <w:rsid w:val="00A20D57"/>
    <w:rsid w:val="00A23F2B"/>
    <w:rsid w:val="00A23F73"/>
    <w:rsid w:val="00A24463"/>
    <w:rsid w:val="00A30AC6"/>
    <w:rsid w:val="00A30CF0"/>
    <w:rsid w:val="00A44559"/>
    <w:rsid w:val="00A46201"/>
    <w:rsid w:val="00A52EAE"/>
    <w:rsid w:val="00A5415D"/>
    <w:rsid w:val="00A54FC4"/>
    <w:rsid w:val="00A555AA"/>
    <w:rsid w:val="00A55CC2"/>
    <w:rsid w:val="00A62D80"/>
    <w:rsid w:val="00A64098"/>
    <w:rsid w:val="00A64D92"/>
    <w:rsid w:val="00A726F1"/>
    <w:rsid w:val="00A72C3B"/>
    <w:rsid w:val="00A74B7E"/>
    <w:rsid w:val="00A86DBE"/>
    <w:rsid w:val="00A9298A"/>
    <w:rsid w:val="00A92A2D"/>
    <w:rsid w:val="00A939CA"/>
    <w:rsid w:val="00A96925"/>
    <w:rsid w:val="00AA4B8E"/>
    <w:rsid w:val="00AB262B"/>
    <w:rsid w:val="00AB2EC1"/>
    <w:rsid w:val="00AC32B0"/>
    <w:rsid w:val="00AC34D8"/>
    <w:rsid w:val="00AC525F"/>
    <w:rsid w:val="00AC5E9D"/>
    <w:rsid w:val="00AC7660"/>
    <w:rsid w:val="00AD2B49"/>
    <w:rsid w:val="00AD49E4"/>
    <w:rsid w:val="00AE426D"/>
    <w:rsid w:val="00AF1004"/>
    <w:rsid w:val="00AF162C"/>
    <w:rsid w:val="00AF21CB"/>
    <w:rsid w:val="00AF318D"/>
    <w:rsid w:val="00AF5397"/>
    <w:rsid w:val="00AF54B7"/>
    <w:rsid w:val="00AF7E40"/>
    <w:rsid w:val="00B0348C"/>
    <w:rsid w:val="00B049AC"/>
    <w:rsid w:val="00B07993"/>
    <w:rsid w:val="00B1444D"/>
    <w:rsid w:val="00B149B2"/>
    <w:rsid w:val="00B16047"/>
    <w:rsid w:val="00B205EB"/>
    <w:rsid w:val="00B219BF"/>
    <w:rsid w:val="00B32995"/>
    <w:rsid w:val="00B3355C"/>
    <w:rsid w:val="00B3463A"/>
    <w:rsid w:val="00B3613F"/>
    <w:rsid w:val="00B408E0"/>
    <w:rsid w:val="00B44682"/>
    <w:rsid w:val="00B50CCB"/>
    <w:rsid w:val="00B5645F"/>
    <w:rsid w:val="00B5795F"/>
    <w:rsid w:val="00B62DC2"/>
    <w:rsid w:val="00B6400E"/>
    <w:rsid w:val="00B66989"/>
    <w:rsid w:val="00B66F27"/>
    <w:rsid w:val="00B75369"/>
    <w:rsid w:val="00B76FA6"/>
    <w:rsid w:val="00B826AE"/>
    <w:rsid w:val="00B844C8"/>
    <w:rsid w:val="00B910B6"/>
    <w:rsid w:val="00B93358"/>
    <w:rsid w:val="00B9491F"/>
    <w:rsid w:val="00BB2B31"/>
    <w:rsid w:val="00BB5DF4"/>
    <w:rsid w:val="00BC00EC"/>
    <w:rsid w:val="00BC0388"/>
    <w:rsid w:val="00BC1120"/>
    <w:rsid w:val="00BC34B5"/>
    <w:rsid w:val="00BD1DBE"/>
    <w:rsid w:val="00BD512C"/>
    <w:rsid w:val="00BD6159"/>
    <w:rsid w:val="00BD6417"/>
    <w:rsid w:val="00BD6D49"/>
    <w:rsid w:val="00BF40A3"/>
    <w:rsid w:val="00BF5583"/>
    <w:rsid w:val="00BF6DD6"/>
    <w:rsid w:val="00C07CEE"/>
    <w:rsid w:val="00C121A3"/>
    <w:rsid w:val="00C210C3"/>
    <w:rsid w:val="00C24681"/>
    <w:rsid w:val="00C259F0"/>
    <w:rsid w:val="00C26115"/>
    <w:rsid w:val="00C30F44"/>
    <w:rsid w:val="00C3507E"/>
    <w:rsid w:val="00C36058"/>
    <w:rsid w:val="00C4102A"/>
    <w:rsid w:val="00C41AE0"/>
    <w:rsid w:val="00C42675"/>
    <w:rsid w:val="00C44041"/>
    <w:rsid w:val="00C5439D"/>
    <w:rsid w:val="00C6016B"/>
    <w:rsid w:val="00C61332"/>
    <w:rsid w:val="00C642D8"/>
    <w:rsid w:val="00C64653"/>
    <w:rsid w:val="00C669DD"/>
    <w:rsid w:val="00C81466"/>
    <w:rsid w:val="00C823D9"/>
    <w:rsid w:val="00C85A97"/>
    <w:rsid w:val="00C90A6B"/>
    <w:rsid w:val="00C9258A"/>
    <w:rsid w:val="00C92826"/>
    <w:rsid w:val="00C956BB"/>
    <w:rsid w:val="00C96FC2"/>
    <w:rsid w:val="00CA170C"/>
    <w:rsid w:val="00CA2073"/>
    <w:rsid w:val="00CA7ACB"/>
    <w:rsid w:val="00CB1D6C"/>
    <w:rsid w:val="00CB1E5E"/>
    <w:rsid w:val="00CC16B7"/>
    <w:rsid w:val="00CC41AC"/>
    <w:rsid w:val="00CC445F"/>
    <w:rsid w:val="00CC7624"/>
    <w:rsid w:val="00CD0A54"/>
    <w:rsid w:val="00CD2F20"/>
    <w:rsid w:val="00CD59EE"/>
    <w:rsid w:val="00CF264E"/>
    <w:rsid w:val="00CF38F1"/>
    <w:rsid w:val="00CF4B91"/>
    <w:rsid w:val="00CF61A9"/>
    <w:rsid w:val="00CF778D"/>
    <w:rsid w:val="00D035B6"/>
    <w:rsid w:val="00D03F89"/>
    <w:rsid w:val="00D04543"/>
    <w:rsid w:val="00D053B3"/>
    <w:rsid w:val="00D114A2"/>
    <w:rsid w:val="00D14660"/>
    <w:rsid w:val="00D17408"/>
    <w:rsid w:val="00D22F2A"/>
    <w:rsid w:val="00D25683"/>
    <w:rsid w:val="00D354B6"/>
    <w:rsid w:val="00D36208"/>
    <w:rsid w:val="00D37743"/>
    <w:rsid w:val="00D45396"/>
    <w:rsid w:val="00D45C5A"/>
    <w:rsid w:val="00D46803"/>
    <w:rsid w:val="00D5364B"/>
    <w:rsid w:val="00D56E51"/>
    <w:rsid w:val="00D62141"/>
    <w:rsid w:val="00D75FED"/>
    <w:rsid w:val="00D775E8"/>
    <w:rsid w:val="00D77FC3"/>
    <w:rsid w:val="00D839C5"/>
    <w:rsid w:val="00D83C6A"/>
    <w:rsid w:val="00D87100"/>
    <w:rsid w:val="00D901F7"/>
    <w:rsid w:val="00D94A9B"/>
    <w:rsid w:val="00D97D43"/>
    <w:rsid w:val="00DA1276"/>
    <w:rsid w:val="00DA431D"/>
    <w:rsid w:val="00DA73EE"/>
    <w:rsid w:val="00DB775F"/>
    <w:rsid w:val="00DB7E7D"/>
    <w:rsid w:val="00DC39DB"/>
    <w:rsid w:val="00DC3E76"/>
    <w:rsid w:val="00DC67C1"/>
    <w:rsid w:val="00DD24EA"/>
    <w:rsid w:val="00DD3ECA"/>
    <w:rsid w:val="00DD4705"/>
    <w:rsid w:val="00DD51D8"/>
    <w:rsid w:val="00DE1D95"/>
    <w:rsid w:val="00DE1FC7"/>
    <w:rsid w:val="00DE394C"/>
    <w:rsid w:val="00DE4076"/>
    <w:rsid w:val="00DF329E"/>
    <w:rsid w:val="00E03CD6"/>
    <w:rsid w:val="00E056C7"/>
    <w:rsid w:val="00E06365"/>
    <w:rsid w:val="00E1075C"/>
    <w:rsid w:val="00E1193A"/>
    <w:rsid w:val="00E12007"/>
    <w:rsid w:val="00E15AE6"/>
    <w:rsid w:val="00E16CAB"/>
    <w:rsid w:val="00E23F7A"/>
    <w:rsid w:val="00E27BBB"/>
    <w:rsid w:val="00E33412"/>
    <w:rsid w:val="00E343AB"/>
    <w:rsid w:val="00E41AC6"/>
    <w:rsid w:val="00E4312D"/>
    <w:rsid w:val="00E43820"/>
    <w:rsid w:val="00E471A6"/>
    <w:rsid w:val="00E51AC6"/>
    <w:rsid w:val="00E56E30"/>
    <w:rsid w:val="00E578ED"/>
    <w:rsid w:val="00E62072"/>
    <w:rsid w:val="00E626C2"/>
    <w:rsid w:val="00E62B82"/>
    <w:rsid w:val="00E751D4"/>
    <w:rsid w:val="00E86116"/>
    <w:rsid w:val="00E87EE2"/>
    <w:rsid w:val="00E93109"/>
    <w:rsid w:val="00E94EA0"/>
    <w:rsid w:val="00E959C2"/>
    <w:rsid w:val="00E973F6"/>
    <w:rsid w:val="00EA1C1A"/>
    <w:rsid w:val="00EA639D"/>
    <w:rsid w:val="00EB2B5B"/>
    <w:rsid w:val="00EC0009"/>
    <w:rsid w:val="00EC0292"/>
    <w:rsid w:val="00EC2697"/>
    <w:rsid w:val="00EC4799"/>
    <w:rsid w:val="00ED17A4"/>
    <w:rsid w:val="00ED37E9"/>
    <w:rsid w:val="00ED4757"/>
    <w:rsid w:val="00ED5EA7"/>
    <w:rsid w:val="00EE1FFC"/>
    <w:rsid w:val="00EE2310"/>
    <w:rsid w:val="00EF76A7"/>
    <w:rsid w:val="00F04C70"/>
    <w:rsid w:val="00F05D2F"/>
    <w:rsid w:val="00F05EB1"/>
    <w:rsid w:val="00F14B61"/>
    <w:rsid w:val="00F17137"/>
    <w:rsid w:val="00F20F89"/>
    <w:rsid w:val="00F2255D"/>
    <w:rsid w:val="00F3094F"/>
    <w:rsid w:val="00F44E55"/>
    <w:rsid w:val="00F46890"/>
    <w:rsid w:val="00F522B9"/>
    <w:rsid w:val="00F52740"/>
    <w:rsid w:val="00F55308"/>
    <w:rsid w:val="00F5606A"/>
    <w:rsid w:val="00F56DA1"/>
    <w:rsid w:val="00F62CD6"/>
    <w:rsid w:val="00F632C4"/>
    <w:rsid w:val="00F6755D"/>
    <w:rsid w:val="00F71D1D"/>
    <w:rsid w:val="00F72CA4"/>
    <w:rsid w:val="00F72DE9"/>
    <w:rsid w:val="00F74B6C"/>
    <w:rsid w:val="00F750EF"/>
    <w:rsid w:val="00F77AB7"/>
    <w:rsid w:val="00F77DC4"/>
    <w:rsid w:val="00F83EB8"/>
    <w:rsid w:val="00F8432C"/>
    <w:rsid w:val="00F84713"/>
    <w:rsid w:val="00F926EF"/>
    <w:rsid w:val="00FA4842"/>
    <w:rsid w:val="00FA61E5"/>
    <w:rsid w:val="00FA77E8"/>
    <w:rsid w:val="00FB0A8A"/>
    <w:rsid w:val="00FB21EE"/>
    <w:rsid w:val="00FB3CBA"/>
    <w:rsid w:val="00FB6038"/>
    <w:rsid w:val="00FB789F"/>
    <w:rsid w:val="00FC001D"/>
    <w:rsid w:val="00FC0FCF"/>
    <w:rsid w:val="00FC3F40"/>
    <w:rsid w:val="00FC6B25"/>
    <w:rsid w:val="00FD6A67"/>
    <w:rsid w:val="00FE2172"/>
    <w:rsid w:val="00FE7EA8"/>
    <w:rsid w:val="00FF09B8"/>
    <w:rsid w:val="00FF1853"/>
    <w:rsid w:val="00FF18C2"/>
    <w:rsid w:val="00FF2234"/>
    <w:rsid w:val="00FF4ACF"/>
    <w:rsid w:val="00FF63F8"/>
    <w:rsid w:val="152161B1"/>
    <w:rsid w:val="45933DA6"/>
    <w:rsid w:val="52B84253"/>
    <w:rsid w:val="5FC762CC"/>
    <w:rsid w:val="7DD3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EE1CA41-4BF1-475C-B5F2-186D211F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qFormat/>
    <w:rPr>
      <w:rFonts w:cs="Times New Roman"/>
      <w:sz w:val="16"/>
      <w:szCs w:val="16"/>
    </w:rPr>
  </w:style>
  <w:style w:type="character" w:styleId="a4">
    <w:name w:val="Emphasis"/>
    <w:uiPriority w:val="20"/>
    <w:qFormat/>
    <w:locked/>
    <w:rPr>
      <w:i/>
      <w:iCs/>
    </w:rPr>
  </w:style>
  <w:style w:type="character" w:styleId="a5">
    <w:name w:val="Hyperlink"/>
    <w:uiPriority w:val="99"/>
    <w:qFormat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qFormat/>
    <w:rPr>
      <w:b/>
      <w:bCs/>
    </w:rPr>
  </w:style>
  <w:style w:type="paragraph" w:styleId="ac">
    <w:name w:val="header"/>
    <w:basedOn w:val="a"/>
    <w:link w:val="ad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color w:val="000000"/>
      <w:lang w:val="ru-RU" w:eastAsia="ru-RU"/>
    </w:rPr>
  </w:style>
  <w:style w:type="paragraph" w:styleId="ae">
    <w:name w:val="Body Text"/>
    <w:basedOn w:val="a"/>
    <w:link w:val="af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next w:val="a"/>
    <w:link w:val="af1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color w:val="000000"/>
      <w:lang w:val="ru-RU" w:eastAsia="ru-RU"/>
    </w:rPr>
  </w:style>
  <w:style w:type="paragraph" w:styleId="af4">
    <w:name w:val="Normal (Web)"/>
    <w:basedOn w:val="a"/>
    <w:link w:val="af5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Subtitle"/>
    <w:basedOn w:val="a"/>
    <w:next w:val="a"/>
    <w:link w:val="af7"/>
    <w:uiPriority w:val="99"/>
    <w:qFormat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ahoma" w:hAnsi="Courier New" w:cs="Mangal"/>
      <w:color w:val="00000A"/>
      <w:sz w:val="20"/>
      <w:szCs w:val="18"/>
      <w:lang w:eastAsia="zh-CN" w:bidi="hi-IN"/>
    </w:rPr>
  </w:style>
  <w:style w:type="table" w:styleId="af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locked/>
    <w:rPr>
      <w:rFonts w:ascii="Cambria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qFormat/>
    <w:locked/>
    <w:rPr>
      <w:rFonts w:ascii="Calibri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qFormat/>
    <w:locked/>
    <w:rPr>
      <w:rFonts w:ascii="Calibri" w:hAnsi="Calibri" w:cs="Times New Roman"/>
      <w:b/>
      <w:bCs/>
      <w:lang w:val="uk-UA" w:eastAsia="uk-UA"/>
    </w:rPr>
  </w:style>
  <w:style w:type="table" w:customStyle="1" w:styleId="TableNormal1">
    <w:name w:val="Table Normal1"/>
    <w:uiPriority w:val="99"/>
    <w:qFormat/>
    <w:pPr>
      <w:spacing w:after="160" w:line="259" w:lineRule="auto"/>
    </w:pPr>
    <w:rPr>
      <w:sz w:val="22"/>
      <w:szCs w:val="22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Название Знак"/>
    <w:link w:val="af0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table" w:customStyle="1" w:styleId="TableNormal2">
    <w:name w:val="Table Normal2"/>
    <w:uiPriority w:val="99"/>
    <w:qFormat/>
    <w:pPr>
      <w:spacing w:after="160" w:line="259" w:lineRule="auto"/>
    </w:pPr>
    <w:rPr>
      <w:sz w:val="22"/>
      <w:szCs w:val="22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qFormat/>
    <w:pPr>
      <w:spacing w:after="160" w:line="259" w:lineRule="auto"/>
    </w:pPr>
    <w:rPr>
      <w:sz w:val="22"/>
      <w:szCs w:val="22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qFormat/>
    <w:pPr>
      <w:spacing w:after="160" w:line="259" w:lineRule="auto"/>
    </w:pPr>
    <w:rPr>
      <w:sz w:val="22"/>
      <w:szCs w:val="22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qFormat/>
    <w:pPr>
      <w:spacing w:after="160" w:line="259" w:lineRule="auto"/>
    </w:pPr>
    <w:rPr>
      <w:sz w:val="22"/>
      <w:szCs w:val="22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link w:val="af9"/>
    <w:uiPriority w:val="34"/>
    <w:qFormat/>
    <w:locked/>
    <w:rPr>
      <w:sz w:val="22"/>
      <w:szCs w:val="22"/>
      <w:lang w:val="uk-UA" w:eastAsia="uk-UA"/>
    </w:rPr>
  </w:style>
  <w:style w:type="character" w:customStyle="1" w:styleId="11">
    <w:name w:val="Неразрешенное упоминание1"/>
    <w:uiPriority w:val="99"/>
    <w:semiHidden/>
    <w:qFormat/>
    <w:rPr>
      <w:rFonts w:cs="Times New Roman"/>
      <w:color w:val="605E5C"/>
      <w:shd w:val="clear" w:color="auto" w:fill="E1DFDD"/>
    </w:rPr>
  </w:style>
  <w:style w:type="character" w:customStyle="1" w:styleId="a7">
    <w:name w:val="Текст выноски Знак"/>
    <w:link w:val="a6"/>
    <w:uiPriority w:val="99"/>
    <w:semiHidden/>
    <w:qFormat/>
    <w:locked/>
    <w:rPr>
      <w:rFonts w:ascii="Segoe UI" w:hAnsi="Segoe UI" w:cs="Segoe UI"/>
      <w:sz w:val="18"/>
      <w:szCs w:val="18"/>
    </w:rPr>
  </w:style>
  <w:style w:type="character" w:customStyle="1" w:styleId="af5">
    <w:name w:val="Обычный (веб) Знак"/>
    <w:link w:val="af4"/>
    <w:uiPriority w:val="99"/>
    <w:qFormat/>
    <w:locked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qowt-font2-timesnewroman">
    <w:name w:val="qowt-font2-timesnewroman"/>
    <w:uiPriority w:val="99"/>
    <w:qFormat/>
  </w:style>
  <w:style w:type="paragraph" w:customStyle="1" w:styleId="tj">
    <w:name w:val="tj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Подзаголовок Знак"/>
    <w:link w:val="af6"/>
    <w:uiPriority w:val="99"/>
    <w:qFormat/>
    <w:locked/>
    <w:rPr>
      <w:rFonts w:ascii="Cambria" w:hAnsi="Cambria" w:cs="Times New Roman"/>
      <w:sz w:val="24"/>
      <w:szCs w:val="24"/>
      <w:lang w:val="uk-UA" w:eastAsia="uk-UA"/>
    </w:rPr>
  </w:style>
  <w:style w:type="table" w:customStyle="1" w:styleId="afb">
    <w:name w:val="Стиль"/>
    <w:basedOn w:val="TableNormal5"/>
    <w:uiPriority w:val="99"/>
    <w:qFormat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тиль4"/>
    <w:basedOn w:val="TableNormal5"/>
    <w:uiPriority w:val="99"/>
    <w:qFormat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basedOn w:val="TableNormal4"/>
    <w:uiPriority w:val="99"/>
    <w:qFormat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ормальний текст"/>
    <w:basedOn w:val="a"/>
    <w:uiPriority w:val="99"/>
    <w:qFormat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table" w:customStyle="1" w:styleId="21">
    <w:name w:val="Стиль2"/>
    <w:basedOn w:val="TableNormal3"/>
    <w:uiPriority w:val="99"/>
    <w:qFormat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примечания Знак"/>
    <w:link w:val="a8"/>
    <w:uiPriority w:val="99"/>
    <w:semiHidden/>
    <w:qFormat/>
    <w:locked/>
    <w:rPr>
      <w:rFonts w:cs="Times New Roman"/>
      <w:sz w:val="20"/>
      <w:szCs w:val="20"/>
    </w:rPr>
  </w:style>
  <w:style w:type="character" w:customStyle="1" w:styleId="ab">
    <w:name w:val="Тема примечания Знак"/>
    <w:link w:val="aa"/>
    <w:uiPriority w:val="99"/>
    <w:semiHidden/>
    <w:qFormat/>
    <w:locked/>
    <w:rPr>
      <w:rFonts w:cs="Times New Roman"/>
      <w:b/>
      <w:bCs/>
      <w:sz w:val="20"/>
      <w:szCs w:val="20"/>
    </w:rPr>
  </w:style>
  <w:style w:type="table" w:customStyle="1" w:styleId="12">
    <w:name w:val="Стиль1"/>
    <w:basedOn w:val="TableNormal2"/>
    <w:uiPriority w:val="99"/>
    <w:qFormat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№3_"/>
    <w:link w:val="33"/>
    <w:uiPriority w:val="99"/>
    <w:qFormat/>
    <w:locked/>
    <w:rPr>
      <w:b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qFormat/>
    <w:pPr>
      <w:widowControl w:val="0"/>
      <w:shd w:val="clear" w:color="auto" w:fill="FFFFFF"/>
      <w:spacing w:after="0" w:line="269" w:lineRule="exact"/>
      <w:jc w:val="both"/>
      <w:outlineLvl w:val="2"/>
    </w:pPr>
    <w:rPr>
      <w:rFonts w:cs="Times New Roman"/>
      <w:b/>
      <w:sz w:val="20"/>
      <w:szCs w:val="20"/>
      <w:lang w:val="ru-RU" w:eastAsia="ru-RU"/>
    </w:rPr>
  </w:style>
  <w:style w:type="table" w:customStyle="1" w:styleId="13">
    <w:name w:val="Сетка таблицы1"/>
    <w:uiPriority w:val="99"/>
    <w:qFormat/>
    <w:rPr>
      <w:rFonts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14"/>
    <w:uiPriority w:val="99"/>
    <w:qFormat/>
    <w:locked/>
    <w:rPr>
      <w:sz w:val="22"/>
      <w:lang w:val="uk-UA" w:eastAsia="uk-UA"/>
    </w:rPr>
  </w:style>
  <w:style w:type="paragraph" w:customStyle="1" w:styleId="14">
    <w:name w:val="Без интервала1"/>
    <w:link w:val="NoSpacingChar1"/>
    <w:uiPriority w:val="99"/>
    <w:qFormat/>
    <w:rPr>
      <w:sz w:val="22"/>
      <w:szCs w:val="22"/>
      <w:lang w:val="uk-UA" w:eastAsia="uk-UA"/>
    </w:rPr>
  </w:style>
  <w:style w:type="paragraph" w:styleId="afd">
    <w:name w:val="No Spacing"/>
    <w:link w:val="afe"/>
    <w:uiPriority w:val="1"/>
    <w:qFormat/>
    <w:rPr>
      <w:rFonts w:eastAsia="Times New Roman" w:cs="Times New Roman"/>
      <w:sz w:val="22"/>
      <w:szCs w:val="22"/>
    </w:rPr>
  </w:style>
  <w:style w:type="character" w:customStyle="1" w:styleId="afe">
    <w:name w:val="Без интервала Знак"/>
    <w:link w:val="afd"/>
    <w:uiPriority w:val="1"/>
    <w:qFormat/>
    <w:locked/>
    <w:rPr>
      <w:rFonts w:eastAsia="Times New Roman" w:cs="Times New Roman"/>
      <w:sz w:val="22"/>
      <w:szCs w:val="22"/>
    </w:rPr>
  </w:style>
  <w:style w:type="paragraph" w:customStyle="1" w:styleId="LO-normal">
    <w:name w:val="LO-normal"/>
    <w:uiPriority w:val="99"/>
    <w:qFormat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eastAsia="zh-CN"/>
    </w:rPr>
  </w:style>
  <w:style w:type="paragraph" w:customStyle="1" w:styleId="aff">
    <w:name w:val="Содержимое таблицы"/>
    <w:basedOn w:val="a"/>
    <w:qFormat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f">
    <w:name w:val="Основной текст Знак"/>
    <w:basedOn w:val="a0"/>
    <w:link w:val="ae"/>
    <w:qFormat/>
    <w:rPr>
      <w:rFonts w:ascii="Times New Roman" w:eastAsia="Times New Roman" w:hAnsi="Times New Roman" w:cs="Times New Roman"/>
      <w:sz w:val="28"/>
      <w:lang w:val="uk-UA"/>
    </w:rPr>
  </w:style>
  <w:style w:type="paragraph" w:customStyle="1" w:styleId="FR2">
    <w:name w:val="FR2"/>
    <w:uiPriority w:val="99"/>
    <w:qFormat/>
    <w:pPr>
      <w:widowControl w:val="0"/>
      <w:suppressAutoHyphens/>
      <w:jc w:val="both"/>
    </w:pPr>
    <w:rPr>
      <w:rFonts w:ascii="Arial" w:eastAsia="Times New Roman" w:hAnsi="Arial" w:cs="Arial"/>
      <w:sz w:val="22"/>
      <w:lang w:eastAsia="zh-CN"/>
    </w:rPr>
  </w:style>
  <w:style w:type="paragraph" w:customStyle="1" w:styleId="15">
    <w:name w:val="Заголовок1"/>
    <w:basedOn w:val="a"/>
    <w:next w:val="ae"/>
    <w:qFormat/>
    <w:pPr>
      <w:suppressAutoHyphens/>
      <w:spacing w:after="0" w:line="240" w:lineRule="auto"/>
      <w:jc w:val="center"/>
    </w:pPr>
    <w:rPr>
      <w:rFonts w:ascii="AdverGothic" w:eastAsia="Times New Roman" w:hAnsi="AdverGothic" w:cs="AdverGothic"/>
      <w:b/>
      <w:sz w:val="28"/>
      <w:szCs w:val="20"/>
      <w:lang w:val="ru-RU" w:eastAsia="zh-CN"/>
    </w:rPr>
  </w:style>
  <w:style w:type="paragraph" w:customStyle="1" w:styleId="16">
    <w:name w:val="Обычный1"/>
    <w:link w:val="Normal"/>
    <w:qFormat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uk-UA"/>
    </w:rPr>
  </w:style>
  <w:style w:type="character" w:customStyle="1" w:styleId="Normal">
    <w:name w:val="Normal Знак"/>
    <w:link w:val="16"/>
    <w:uiPriority w:val="99"/>
    <w:qFormat/>
    <w:locked/>
    <w:rPr>
      <w:rFonts w:ascii="Times New Roman" w:eastAsia="Times New Roman" w:hAnsi="Times New Roman" w:cs="Times New Roman"/>
      <w:color w:val="00000A"/>
      <w:sz w:val="24"/>
      <w:szCs w:val="24"/>
      <w:lang w:val="uk-UA"/>
    </w:rPr>
  </w:style>
  <w:style w:type="character" w:customStyle="1" w:styleId="xfmc2">
    <w:name w:val="xfmc2"/>
    <w:basedOn w:val="a0"/>
    <w:qFormat/>
  </w:style>
  <w:style w:type="character" w:customStyle="1" w:styleId="HTML0">
    <w:name w:val="Стандартный HTML Знак"/>
    <w:basedOn w:val="a0"/>
    <w:link w:val="HTML"/>
    <w:qFormat/>
    <w:rPr>
      <w:rFonts w:ascii="Courier New" w:eastAsia="Tahoma" w:hAnsi="Courier New" w:cs="Mangal"/>
      <w:color w:val="00000A"/>
      <w:szCs w:val="18"/>
      <w:lang w:val="uk-UA" w:eastAsia="zh-CN" w:bidi="hi-IN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ет"/>
    <w:qFormat/>
  </w:style>
  <w:style w:type="character" w:customStyle="1" w:styleId="2737">
    <w:name w:val="2737"/>
    <w:basedOn w:val="a0"/>
    <w:qFormat/>
  </w:style>
  <w:style w:type="paragraph" w:customStyle="1" w:styleId="Standard">
    <w:name w:val="Standard"/>
    <w:qFormat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rynqvb">
    <w:name w:val="rynqvb"/>
    <w:basedOn w:val="a0"/>
    <w:qFormat/>
  </w:style>
  <w:style w:type="paragraph" w:customStyle="1" w:styleId="xfmc1">
    <w:name w:val="xfm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basedOn w:val="a0"/>
    <w:qFormat/>
  </w:style>
  <w:style w:type="character" w:customStyle="1" w:styleId="hps">
    <w:name w:val="hps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22">
    <w:name w:val="Абзац списка2"/>
    <w:basedOn w:val="a"/>
    <w:uiPriority w:val="99"/>
    <w:qFormat/>
    <w:pPr>
      <w:spacing w:after="200" w:line="276" w:lineRule="auto"/>
      <w:ind w:left="720"/>
      <w:contextualSpacing/>
    </w:pPr>
    <w:rPr>
      <w:rFonts w:eastAsia="Times New Roman" w:cs="Times New Roman"/>
      <w:lang w:val="ru-RU" w:eastAsia="ru-RU"/>
    </w:rPr>
  </w:style>
  <w:style w:type="paragraph" w:customStyle="1" w:styleId="ng-star-inserted">
    <w:name w:val="ng-star-inserted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qFormat/>
    <w:rPr>
      <w:rFonts w:ascii="Arial" w:eastAsia="Arial" w:hAnsi="Arial" w:cs="Arial"/>
      <w:color w:val="000000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qFormat/>
    <w:rPr>
      <w:rFonts w:ascii="Arial" w:eastAsia="Arial" w:hAnsi="Arial" w:cs="Arial"/>
      <w:color w:val="000000"/>
      <w:sz w:val="22"/>
      <w:szCs w:val="22"/>
    </w:rPr>
  </w:style>
  <w:style w:type="character" w:customStyle="1" w:styleId="tooltiplabel">
    <w:name w:val="tooltip__label"/>
    <w:basedOn w:val="a0"/>
    <w:qFormat/>
  </w:style>
  <w:style w:type="character" w:customStyle="1" w:styleId="xfm54733225">
    <w:name w:val="xfm_54733225"/>
    <w:basedOn w:val="a0"/>
    <w:qFormat/>
  </w:style>
  <w:style w:type="table" w:customStyle="1" w:styleId="TableGrid">
    <w:name w:val="TableGrid"/>
    <w:rPr>
      <w:rFonts w:eastAsia="Times New Roman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uiPriority w:val="39"/>
    <w:rPr>
      <w:rFonts w:cs="Times New Roman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39"/>
    <w:rPr>
      <w:rFonts w:cs="Times New Roman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 + 5"/>
    <w:qFormat/>
    <w:rPr>
      <w:rFonts w:ascii="Tahoma" w:eastAsia="Tahoma" w:hAnsi="Tahoma" w:cs="Tahoma"/>
      <w:color w:val="000000"/>
      <w:spacing w:val="0"/>
      <w:w w:val="15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24">
    <w:name w:val="Основной текст (2)_"/>
    <w:basedOn w:val="a0"/>
    <w:link w:val="26"/>
    <w:qFormat/>
    <w:locked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26">
    <w:name w:val="Основной текст (2)"/>
    <w:basedOn w:val="a"/>
    <w:link w:val="24"/>
    <w:qFormat/>
    <w:pPr>
      <w:widowControl w:val="0"/>
      <w:shd w:val="clear" w:color="auto" w:fill="FFFFFF"/>
      <w:spacing w:after="180" w:line="163" w:lineRule="exact"/>
      <w:ind w:hanging="380"/>
      <w:jc w:val="both"/>
    </w:pPr>
    <w:rPr>
      <w:rFonts w:ascii="Tahoma" w:eastAsia="Tahoma" w:hAnsi="Tahoma" w:cs="Tahoma"/>
      <w:sz w:val="14"/>
      <w:szCs w:val="14"/>
      <w:lang w:val="ru-RU" w:eastAsia="ru-RU"/>
    </w:rPr>
  </w:style>
  <w:style w:type="character" w:customStyle="1" w:styleId="fontstyle01">
    <w:name w:val="fontstyle01"/>
    <w:basedOn w:val="a0"/>
    <w:qFormat/>
    <w:rPr>
      <w:rFonts w:ascii="Calibri" w:hAnsi="Calibri" w:cs="Calibri" w:hint="default"/>
      <w:color w:val="000000"/>
      <w:sz w:val="18"/>
      <w:szCs w:val="18"/>
    </w:rPr>
  </w:style>
  <w:style w:type="character" w:customStyle="1" w:styleId="fontstyle21">
    <w:name w:val="fontstyle21"/>
    <w:basedOn w:val="a0"/>
    <w:qFormat/>
    <w:rPr>
      <w:rFonts w:ascii="Calibri-Italic" w:hAnsi="Calibri-Italic" w:hint="defaul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C3F5-B71B-4948-9794-84547EFB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buh</cp:lastModifiedBy>
  <cp:revision>2</cp:revision>
  <cp:lastPrinted>2023-06-02T13:51:00Z</cp:lastPrinted>
  <dcterms:created xsi:type="dcterms:W3CDTF">2024-09-24T12:27:00Z</dcterms:created>
  <dcterms:modified xsi:type="dcterms:W3CDTF">2024-09-24T12:27:00Z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FE0349738FDF423B8C181F720A51D938_12</vt:lpwstr>
  </property>
</Properties>
</file>