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D2" w:rsidRDefault="00A04AD2">
      <w:pPr>
        <w:spacing w:after="0" w:line="240" w:lineRule="auto"/>
        <w:ind w:left="5660" w:firstLine="70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04AD2" w:rsidRDefault="00A04A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4AD2" w:rsidRDefault="001F184A">
      <w:pPr>
        <w:widowControl w:val="0"/>
        <w:spacing w:before="48" w:after="12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04AD2" w:rsidRDefault="001F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ТЕХНІЧНА СПЕЦИФІКАЦІЯ </w:t>
      </w:r>
    </w:p>
    <w:p w:rsidR="00A04AD2" w:rsidRDefault="001F1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 закупівлі:</w:t>
      </w:r>
    </w:p>
    <w:p w:rsidR="00A04AD2" w:rsidRDefault="00A04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04AD2" w:rsidRDefault="001F184A">
      <w:pPr>
        <w:tabs>
          <w:tab w:val="left" w:pos="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КОД ДК 021:2015: 33160000-9 «Устаткування для операційних блоків»</w:t>
      </w:r>
    </w:p>
    <w:p w:rsidR="00A04AD2" w:rsidRDefault="001F184A">
      <w:pPr>
        <w:tabs>
          <w:tab w:val="left" w:pos="28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 xml:space="preserve">К 024:2023: </w:t>
      </w:r>
      <w:r>
        <w:rPr>
          <w:rFonts w:ascii="Times New Roman" w:hAnsi="Times New Roman" w:cs="Times New Roman"/>
          <w:b/>
        </w:rPr>
        <w:t>35616-(</w:t>
      </w:r>
      <w:r>
        <w:rPr>
          <w:rFonts w:ascii="Times New Roman" w:eastAsia="sans-serif" w:hAnsi="Times New Roman" w:cs="Times New Roman"/>
          <w:b/>
          <w:color w:val="000000"/>
        </w:rPr>
        <w:t>Системи ендоскопічної візуалізації у комплекті</w:t>
      </w:r>
      <w:r>
        <w:rPr>
          <w:rFonts w:ascii="Times New Roman" w:eastAsia="sans-serif" w:hAnsi="Times New Roman" w:cs="Times New Roman"/>
          <w:b/>
          <w:color w:val="000000"/>
        </w:rPr>
        <w:t>)</w:t>
      </w:r>
    </w:p>
    <w:p w:rsidR="00A04AD2" w:rsidRDefault="00A04AD2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p w:rsidR="00A04AD2" w:rsidRDefault="001F184A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Загальні вимоги:</w:t>
      </w:r>
    </w:p>
    <w:p w:rsidR="00A04AD2" w:rsidRDefault="001F184A">
      <w:pPr>
        <w:numPr>
          <w:ilvl w:val="0"/>
          <w:numId w:val="3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Товар, запропонований Учасником, повинен відповідати медико – технічним вимогам, встановленим в Технічній специфікації (опис предмета закупівлі), викладеній у даному додатку до Документації. </w:t>
      </w:r>
    </w:p>
    <w:p w:rsidR="00A04AD2" w:rsidRDefault="001F184A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Відповідність технічних характеристик, запропонованого Учасником</w:t>
      </w:r>
      <w:r>
        <w:rPr>
          <w:rFonts w:ascii="Times New Roman" w:hAnsi="Times New Roman" w:cs="Times New Roman"/>
          <w:i/>
        </w:rPr>
        <w:t xml:space="preserve"> товару, встановленим в Технічній специфікації (описі предмета закупівлі), викладеній у даному додатку до Документації, повинна бути обов’язково підтверджена посиланням на відповідні розділ(и), та/або сторінку(и) технічного документу виробника (експлуатаці</w:t>
      </w:r>
      <w:r>
        <w:rPr>
          <w:rFonts w:ascii="Times New Roman" w:hAnsi="Times New Roman" w:cs="Times New Roman"/>
          <w:i/>
        </w:rPr>
        <w:t>йної документац</w:t>
      </w:r>
      <w:r>
        <w:rPr>
          <w:rFonts w:ascii="Times New Roman" w:hAnsi="Times New Roman" w:cs="Times New Roman"/>
        </w:rPr>
        <w:t>ії:</w:t>
      </w:r>
      <w:r>
        <w:rPr>
          <w:rFonts w:ascii="Times New Roman" w:hAnsi="Times New Roman" w:cs="Times New Roman"/>
          <w:i/>
        </w:rPr>
        <w:t xml:space="preserve"> настанови (інструкції) з експлуатації (застосування), або технічного опису чи технічних умов, або інших документів українською</w:t>
      </w:r>
      <w:r>
        <w:rPr>
          <w:rFonts w:ascii="Times New Roman" w:hAnsi="Times New Roman" w:cs="Times New Roman"/>
          <w:i/>
          <w:lang w:val="ru-RU"/>
        </w:rPr>
        <w:t xml:space="preserve"> </w:t>
      </w:r>
      <w:r>
        <w:rPr>
          <w:rFonts w:ascii="Times New Roman" w:hAnsi="Times New Roman" w:cs="Times New Roman"/>
          <w:i/>
        </w:rPr>
        <w:t>мовою) в якому міститься ця інформація разом з додаванням таких документів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 xml:space="preserve"> Підтвердження відповідності техніч</w:t>
      </w:r>
      <w:r>
        <w:rPr>
          <w:rFonts w:ascii="Times New Roman" w:hAnsi="Times New Roman" w:cs="Times New Roman"/>
          <w:i/>
        </w:rPr>
        <w:t>них характеристик, запропонованого Учасником товару, встановленим в Технічній специфікації (описі предмета закупівлі), викладеній у даному додатку до Документації, надається Учасником у формі заповненої таблиці наведеної нижче.</w:t>
      </w:r>
    </w:p>
    <w:p w:rsidR="00A04AD2" w:rsidRDefault="001F184A">
      <w:pPr>
        <w:numPr>
          <w:ilvl w:val="0"/>
          <w:numId w:val="3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Товар, запропонований Учасни</w:t>
      </w:r>
      <w:r>
        <w:rPr>
          <w:rFonts w:ascii="Times New Roman" w:hAnsi="Times New Roman" w:cs="Times New Roman"/>
        </w:rPr>
        <w:t>ком, повинен бути введений в обіг відповідно до законодавства у сфері технічного регулювання та оцінки відповідності, у передбаченому законодавством порядку.</w:t>
      </w:r>
    </w:p>
    <w:p w:rsidR="00A04AD2" w:rsidRDefault="001F184A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підтвердження Учасник повинен надати:</w:t>
      </w:r>
    </w:p>
    <w:p w:rsidR="00A04AD2" w:rsidRDefault="001F184A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а) завірену копію декларації або копію документів, що під</w:t>
      </w:r>
      <w:r>
        <w:rPr>
          <w:rFonts w:ascii="Times New Roman" w:hAnsi="Times New Roman" w:cs="Times New Roman"/>
          <w:i/>
        </w:rPr>
        <w:t>тверджують можливість введення в обіг та/або експлуатацію (застосування) медичного виробу за результатами проходження процедури оцінки відповідності згідно вимог технічного регламенту, або</w:t>
      </w:r>
    </w:p>
    <w:p w:rsidR="00A04AD2" w:rsidRDefault="001F184A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б) гарантійний лист від Учасника, що на запропонований ним товар ко</w:t>
      </w:r>
      <w:r>
        <w:rPr>
          <w:rFonts w:ascii="Times New Roman" w:hAnsi="Times New Roman" w:cs="Times New Roman"/>
          <w:i/>
        </w:rPr>
        <w:t xml:space="preserve">пії документів визначених </w:t>
      </w:r>
      <w:proofErr w:type="spellStart"/>
      <w:r>
        <w:rPr>
          <w:rFonts w:ascii="Times New Roman" w:hAnsi="Times New Roman" w:cs="Times New Roman"/>
          <w:i/>
        </w:rPr>
        <w:t>п.п</w:t>
      </w:r>
      <w:proofErr w:type="spellEnd"/>
      <w:r>
        <w:rPr>
          <w:rFonts w:ascii="Times New Roman" w:hAnsi="Times New Roman" w:cs="Times New Roman"/>
          <w:i/>
        </w:rPr>
        <w:t>. (а) п.2 загальних вимог цього Додатку, будуть надані при постачанні товару.</w:t>
      </w:r>
    </w:p>
    <w:p w:rsidR="00A04AD2" w:rsidRDefault="001F184A">
      <w:pPr>
        <w:numPr>
          <w:ilvl w:val="0"/>
          <w:numId w:val="3"/>
        </w:numPr>
        <w:tabs>
          <w:tab w:val="left" w:pos="284"/>
        </w:tabs>
        <w:spacing w:line="276" w:lineRule="auto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Гарантійний термін (строк) товару, запропонованого Учасником повинен становити не менше 12 місяців, а також він повинен бути новим, та таким, що рані</w:t>
      </w:r>
      <w:r>
        <w:rPr>
          <w:rFonts w:ascii="Times New Roman" w:hAnsi="Times New Roman" w:cs="Times New Roman"/>
        </w:rPr>
        <w:t>ше не експлуатувався та не використовувався.</w:t>
      </w:r>
    </w:p>
    <w:p w:rsidR="00A04AD2" w:rsidRDefault="001F184A">
      <w:pPr>
        <w:tabs>
          <w:tab w:val="left" w:pos="284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 підтвердження Учасник повинен надати оригінал листа в якому він повинен зазначити гарантійний термін (строк),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запропонованого ним товару та відповідність іншим вимогам зазначеним в даному пункті</w:t>
      </w:r>
      <w:r>
        <w:rPr>
          <w:rFonts w:ascii="Times New Roman" w:hAnsi="Times New Roman" w:cs="Times New Roman"/>
        </w:rPr>
        <w:t>.</w:t>
      </w:r>
    </w:p>
    <w:p w:rsidR="00A04AD2" w:rsidRDefault="001F184A">
      <w:pPr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Сервісне </w:t>
      </w:r>
      <w:r>
        <w:rPr>
          <w:rFonts w:ascii="Times New Roman" w:hAnsi="Times New Roman" w:cs="Times New Roman"/>
        </w:rPr>
        <w:t>обслуговування товару, запропонованого Учасником повинно здійснюватися кваліфікованими працівниками, які мають відповідні знання та навички.</w:t>
      </w:r>
    </w:p>
    <w:p w:rsidR="00A04AD2" w:rsidRDefault="001F184A">
      <w:pPr>
        <w:tabs>
          <w:tab w:val="left" w:pos="284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На підтвердження Учасник повинен надати гарантійний лист в довільній формі щодо відповідності вимогам, вказаним у в</w:t>
      </w:r>
      <w:r>
        <w:rPr>
          <w:rFonts w:ascii="Times New Roman" w:hAnsi="Times New Roman" w:cs="Times New Roman"/>
          <w:i/>
        </w:rPr>
        <w:t xml:space="preserve">ищевказаному пункті. </w:t>
      </w:r>
    </w:p>
    <w:p w:rsidR="00A04AD2" w:rsidRDefault="001F184A">
      <w:pPr>
        <w:numPr>
          <w:ilvl w:val="0"/>
          <w:numId w:val="3"/>
        </w:numPr>
        <w:tabs>
          <w:tab w:val="left" w:pos="0"/>
          <w:tab w:val="left" w:pos="284"/>
        </w:tabs>
        <w:spacing w:line="276" w:lineRule="auto"/>
        <w:ind w:left="142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Учасник повинен підтвердити можливість поставки запропонованого ним товару, у кількості та в терміни, визначені цією Документацією та пропозицією Учасника.</w:t>
      </w:r>
      <w:r>
        <w:rPr>
          <w:rFonts w:ascii="Times New Roman" w:hAnsi="Times New Roman" w:cs="Times New Roman"/>
          <w:i/>
        </w:rPr>
        <w:t xml:space="preserve"> </w:t>
      </w:r>
    </w:p>
    <w:p w:rsidR="00A04AD2" w:rsidRDefault="001F184A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</w:rPr>
        <w:lastRenderedPageBreak/>
        <w:t>На підтвердження Учасник повинен надати оригінал листа виробника (представниц</w:t>
      </w:r>
      <w:r>
        <w:rPr>
          <w:rFonts w:ascii="Times New Roman" w:hAnsi="Times New Roman" w:cs="Times New Roman"/>
          <w:i/>
        </w:rPr>
        <w:t>тва, філії виробника – якщо їх відповідні повноваження поширюються на територію України), або представника, дилера, дистриб'ютора, офіційно уповноваженого на це виробником, яким підтверджується можливість поставки Учасником товару, який є предметом даної п</w:t>
      </w:r>
      <w:r>
        <w:rPr>
          <w:rFonts w:ascii="Times New Roman" w:hAnsi="Times New Roman" w:cs="Times New Roman"/>
          <w:i/>
        </w:rPr>
        <w:t xml:space="preserve">роцедури закупівлі, у кількості, та в терміни, визначені цією Документацією та пропозицією Учасника. </w:t>
      </w:r>
      <w:r>
        <w:rPr>
          <w:rFonts w:ascii="Times New Roman" w:hAnsi="Times New Roman" w:cs="Times New Roman"/>
          <w:bCs/>
          <w:i/>
        </w:rPr>
        <w:t>Лист повинен включати в себе: назву Учасника, номер оголошення, а також назву предмета закупівлі</w:t>
      </w:r>
      <w:r>
        <w:rPr>
          <w:rFonts w:ascii="Times New Roman" w:hAnsi="Times New Roman" w:cs="Times New Roman"/>
          <w:bCs/>
        </w:rPr>
        <w:t>.</w:t>
      </w:r>
    </w:p>
    <w:p w:rsidR="00A04AD2" w:rsidRDefault="00A04AD2">
      <w:pPr>
        <w:tabs>
          <w:tab w:val="left" w:pos="284"/>
        </w:tabs>
        <w:ind w:left="142"/>
        <w:jc w:val="both"/>
        <w:rPr>
          <w:rFonts w:ascii="Times New Roman" w:hAnsi="Times New Roman" w:cs="Times New Roman"/>
          <w:bCs/>
        </w:rPr>
      </w:pPr>
    </w:p>
    <w:p w:rsidR="00A04AD2" w:rsidRDefault="001F184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>Номенклатура та обсяги закупівлі</w:t>
      </w:r>
    </w:p>
    <w:tbl>
      <w:tblPr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6468"/>
        <w:gridCol w:w="1291"/>
        <w:gridCol w:w="1510"/>
      </w:tblGrid>
      <w:tr w:rsidR="00A04AD2">
        <w:trPr>
          <w:trHeight w:val="414"/>
        </w:trPr>
        <w:tc>
          <w:tcPr>
            <w:tcW w:w="620" w:type="dxa"/>
            <w:vAlign w:val="center"/>
          </w:tcPr>
          <w:p w:rsidR="00A04AD2" w:rsidRDefault="001F1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з/п</w:t>
            </w:r>
          </w:p>
        </w:tc>
        <w:tc>
          <w:tcPr>
            <w:tcW w:w="6468" w:type="dxa"/>
            <w:vAlign w:val="center"/>
          </w:tcPr>
          <w:p w:rsidR="00A04AD2" w:rsidRDefault="001F1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Найменування</w:t>
            </w:r>
          </w:p>
        </w:tc>
        <w:tc>
          <w:tcPr>
            <w:tcW w:w="1291" w:type="dxa"/>
            <w:vAlign w:val="center"/>
          </w:tcPr>
          <w:p w:rsidR="00A04AD2" w:rsidRDefault="001F1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Одиниця виміру</w:t>
            </w:r>
          </w:p>
        </w:tc>
        <w:tc>
          <w:tcPr>
            <w:tcW w:w="1510" w:type="dxa"/>
            <w:vAlign w:val="center"/>
          </w:tcPr>
          <w:p w:rsidR="00A04AD2" w:rsidRDefault="001F1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Кількість комплектів</w:t>
            </w:r>
          </w:p>
        </w:tc>
      </w:tr>
      <w:tr w:rsidR="00A04AD2">
        <w:trPr>
          <w:trHeight w:val="574"/>
        </w:trPr>
        <w:tc>
          <w:tcPr>
            <w:tcW w:w="620" w:type="dxa"/>
            <w:vAlign w:val="center"/>
          </w:tcPr>
          <w:p w:rsidR="00A04AD2" w:rsidRDefault="001F1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468" w:type="dxa"/>
            <w:vAlign w:val="center"/>
          </w:tcPr>
          <w:p w:rsidR="00A04AD2" w:rsidRDefault="001F184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ДК 021:2015: 33160000-9 «Устаткування для операційних блоків»</w:t>
            </w:r>
          </w:p>
          <w:p w:rsidR="00A04AD2" w:rsidRDefault="001F184A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НК 024:2023: </w:t>
            </w:r>
            <w:r>
              <w:rPr>
                <w:rFonts w:ascii="Times New Roman" w:hAnsi="Times New Roman" w:cs="Times New Roman"/>
                <w:b/>
              </w:rPr>
              <w:t>35616-(</w:t>
            </w:r>
            <w:r>
              <w:rPr>
                <w:rFonts w:ascii="Times New Roman" w:eastAsia="sans-serif" w:hAnsi="Times New Roman" w:cs="Times New Roman"/>
                <w:b/>
                <w:color w:val="000000"/>
              </w:rPr>
              <w:t>Системи ендоскопічної візуалізації у комплекті</w:t>
            </w:r>
            <w:r>
              <w:rPr>
                <w:rFonts w:ascii="Times New Roman" w:eastAsia="sans-serif" w:hAnsi="Times New Roman" w:cs="Times New Roman"/>
                <w:b/>
                <w:color w:val="000000"/>
              </w:rPr>
              <w:t>)</w:t>
            </w:r>
          </w:p>
          <w:p w:rsidR="00A04AD2" w:rsidRDefault="00A04A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A04AD2" w:rsidRDefault="00A04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1" w:type="dxa"/>
            <w:vAlign w:val="center"/>
          </w:tcPr>
          <w:p w:rsidR="00A04AD2" w:rsidRDefault="001F1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10" w:type="dxa"/>
            <w:vAlign w:val="center"/>
          </w:tcPr>
          <w:p w:rsidR="00A04AD2" w:rsidRDefault="001F18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A04AD2" w:rsidRDefault="00A04AD2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A04AD2" w:rsidRDefault="00A04AD2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tbl>
      <w:tblPr>
        <w:tblW w:w="990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7547"/>
        <w:gridCol w:w="1738"/>
      </w:tblGrid>
      <w:tr w:rsidR="00A04AD2">
        <w:tc>
          <w:tcPr>
            <w:tcW w:w="615" w:type="dxa"/>
            <w:vAlign w:val="center"/>
          </w:tcPr>
          <w:p w:rsidR="00A04AD2" w:rsidRDefault="001F184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7547" w:type="dxa"/>
            <w:vAlign w:val="center"/>
          </w:tcPr>
          <w:p w:rsidR="00A04AD2" w:rsidRDefault="001F1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Назва вимоги</w:t>
            </w:r>
          </w:p>
        </w:tc>
        <w:tc>
          <w:tcPr>
            <w:tcW w:w="1738" w:type="dxa"/>
          </w:tcPr>
          <w:p w:rsidR="00A04AD2" w:rsidRDefault="001F184A">
            <w:pPr>
              <w:jc w:val="center"/>
              <w:rPr>
                <w:rStyle w:val="a4"/>
                <w:rFonts w:ascii="Times New Roman" w:eastAsia="MS Mincho" w:hAnsi="Times New Roman" w:cs="Times New Roman"/>
                <w:b w:val="0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lang w:eastAsia="ja-JP"/>
              </w:rPr>
              <w:t xml:space="preserve">Відповідність (так/ні) </w:t>
            </w:r>
          </w:p>
        </w:tc>
      </w:tr>
      <w:tr w:rsidR="00A04AD2">
        <w:tc>
          <w:tcPr>
            <w:tcW w:w="615" w:type="dxa"/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1</w:t>
            </w:r>
          </w:p>
        </w:tc>
        <w:tc>
          <w:tcPr>
            <w:tcW w:w="7547" w:type="dxa"/>
          </w:tcPr>
          <w:p w:rsidR="00A04AD2" w:rsidRDefault="001F184A">
            <w:pPr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Призначення: для введення 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через ротову або носову порожнину з метою дослідження верхніх дихальних шляхів, аж до гортані і голосових зв'язок.</w:t>
            </w:r>
          </w:p>
        </w:tc>
        <w:tc>
          <w:tcPr>
            <w:tcW w:w="1738" w:type="dxa"/>
          </w:tcPr>
          <w:p w:rsidR="00A04AD2" w:rsidRDefault="00A04AD2">
            <w:pPr>
              <w:rPr>
                <w:rStyle w:val="a4"/>
                <w:rFonts w:ascii="Times New Roman" w:hAnsi="Times New Roman" w:cs="Times New Roman"/>
                <w:b w:val="0"/>
                <w:iCs/>
              </w:rPr>
            </w:pPr>
          </w:p>
        </w:tc>
      </w:tr>
      <w:tr w:rsidR="00A04AD2">
        <w:tc>
          <w:tcPr>
            <w:tcW w:w="615" w:type="dxa"/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2</w:t>
            </w:r>
          </w:p>
        </w:tc>
        <w:tc>
          <w:tcPr>
            <w:tcW w:w="7547" w:type="dxa"/>
          </w:tcPr>
          <w:p w:rsidR="00A04AD2" w:rsidRDefault="001F184A">
            <w:pPr>
              <w:ind w:right="142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Склад комплекту </w:t>
            </w:r>
            <w:bookmarkStart w:id="0" w:name="_Hlk135130927"/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відеоназофаринголарингоскопу</w:t>
            </w:r>
            <w:bookmarkEnd w:id="0"/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:</w:t>
            </w:r>
          </w:p>
          <w:p w:rsidR="00A04AD2" w:rsidRDefault="001F184A">
            <w:pPr>
              <w:ind w:right="142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-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відеоназофаринголарингоскоп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;</w:t>
            </w:r>
          </w:p>
          <w:p w:rsidR="00A04AD2" w:rsidRDefault="001F184A">
            <w:pPr>
              <w:ind w:right="142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-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відеопроцесор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;</w:t>
            </w:r>
          </w:p>
          <w:p w:rsidR="00A04AD2" w:rsidRDefault="001F184A">
            <w:pPr>
              <w:ind w:right="142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-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відеомонітор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;</w:t>
            </w:r>
          </w:p>
          <w:p w:rsidR="00A04AD2" w:rsidRDefault="001F184A">
            <w:pPr>
              <w:ind w:right="142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- тестер герметичності;</w:t>
            </w:r>
          </w:p>
          <w:p w:rsidR="00A04AD2" w:rsidRDefault="001F184A">
            <w:pPr>
              <w:ind w:right="142"/>
              <w:rPr>
                <w:rFonts w:ascii="Times New Roman" w:hAnsi="Times New Roman" w:cs="Times New Roman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- 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стійка пересувна ендоскопічна.</w:t>
            </w:r>
          </w:p>
        </w:tc>
        <w:tc>
          <w:tcPr>
            <w:tcW w:w="1738" w:type="dxa"/>
          </w:tcPr>
          <w:p w:rsidR="00A04AD2" w:rsidRDefault="00A04AD2">
            <w:pPr>
              <w:rPr>
                <w:rStyle w:val="a4"/>
                <w:rFonts w:ascii="Times New Roman" w:hAnsi="Times New Roman" w:cs="Times New Roman"/>
                <w:b w:val="0"/>
                <w:iCs/>
                <w:color w:val="FF0000"/>
              </w:rPr>
            </w:pPr>
          </w:p>
        </w:tc>
      </w:tr>
      <w:tr w:rsidR="00A04AD2">
        <w:tc>
          <w:tcPr>
            <w:tcW w:w="615" w:type="dxa"/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3</w:t>
            </w:r>
          </w:p>
        </w:tc>
        <w:tc>
          <w:tcPr>
            <w:tcW w:w="7547" w:type="dxa"/>
          </w:tcPr>
          <w:p w:rsidR="00A04AD2" w:rsidRDefault="001F184A">
            <w:pPr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Кут поля зору не менше 90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vertAlign w:val="superscript"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.</w:t>
            </w:r>
          </w:p>
        </w:tc>
        <w:tc>
          <w:tcPr>
            <w:tcW w:w="1738" w:type="dxa"/>
          </w:tcPr>
          <w:p w:rsidR="00A04AD2" w:rsidRDefault="00A04AD2">
            <w:pPr>
              <w:rPr>
                <w:rStyle w:val="a4"/>
                <w:rFonts w:ascii="Times New Roman" w:hAnsi="Times New Roman" w:cs="Times New Roman"/>
                <w:b w:val="0"/>
                <w:iCs/>
              </w:rPr>
            </w:pPr>
          </w:p>
        </w:tc>
      </w:tr>
      <w:tr w:rsidR="00A04AD2">
        <w:tc>
          <w:tcPr>
            <w:tcW w:w="615" w:type="dxa"/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3.1</w:t>
            </w:r>
          </w:p>
        </w:tc>
        <w:tc>
          <w:tcPr>
            <w:tcW w:w="7547" w:type="dxa"/>
          </w:tcPr>
          <w:p w:rsidR="00A04AD2" w:rsidRDefault="001F184A">
            <w:pPr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Кути вигину дистального кінця: не менше </w:t>
            </w:r>
            <w:r>
              <w:rPr>
                <w:rFonts w:ascii="Times New Roman" w:hAnsi="Times New Roman" w:cs="Times New Roman"/>
                <w:iCs/>
                <w:lang w:val="ru-RU"/>
              </w:rPr>
              <w:t>12</w:t>
            </w:r>
            <w:r>
              <w:rPr>
                <w:rFonts w:ascii="Times New Roman" w:hAnsi="Times New Roman" w:cs="Times New Roman"/>
                <w:iCs/>
              </w:rPr>
              <w:t xml:space="preserve">0 </w:t>
            </w:r>
            <w:r>
              <w:rPr>
                <w:rFonts w:ascii="Times New Roman" w:hAnsi="Times New Roman" w:cs="Times New Roman"/>
                <w:iCs/>
              </w:rPr>
              <w:sym w:font="Symbol" w:char="F0B0"/>
            </w:r>
            <w:r>
              <w:rPr>
                <w:rFonts w:ascii="Times New Roman" w:hAnsi="Times New Roman" w:cs="Times New Roman"/>
                <w:iCs/>
              </w:rPr>
              <w:t xml:space="preserve"> вгору, 120 </w:t>
            </w:r>
            <w:r>
              <w:rPr>
                <w:rFonts w:ascii="Times New Roman" w:hAnsi="Times New Roman" w:cs="Times New Roman"/>
                <w:iCs/>
              </w:rPr>
              <w:sym w:font="Symbol" w:char="F0B0"/>
            </w:r>
            <w:r>
              <w:rPr>
                <w:rFonts w:ascii="Times New Roman" w:hAnsi="Times New Roman" w:cs="Times New Roman"/>
                <w:iCs/>
              </w:rPr>
              <w:t xml:space="preserve"> вниз.</w:t>
            </w:r>
          </w:p>
        </w:tc>
        <w:tc>
          <w:tcPr>
            <w:tcW w:w="1738" w:type="dxa"/>
          </w:tcPr>
          <w:p w:rsidR="00A04AD2" w:rsidRDefault="00A04AD2">
            <w:pPr>
              <w:rPr>
                <w:rStyle w:val="a4"/>
                <w:rFonts w:ascii="Times New Roman" w:hAnsi="Times New Roman" w:cs="Times New Roman"/>
                <w:iCs/>
              </w:rPr>
            </w:pPr>
          </w:p>
        </w:tc>
      </w:tr>
      <w:tr w:rsidR="00A04AD2">
        <w:tc>
          <w:tcPr>
            <w:tcW w:w="615" w:type="dxa"/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3.2</w:t>
            </w:r>
          </w:p>
        </w:tc>
        <w:tc>
          <w:tcPr>
            <w:tcW w:w="7547" w:type="dxa"/>
          </w:tcPr>
          <w:p w:rsidR="00A04AD2" w:rsidRDefault="001F184A">
            <w:pPr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Напрямок огляду повинен бути прямий (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vertAlign w:val="superscript"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738" w:type="dxa"/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3.3</w:t>
            </w:r>
          </w:p>
        </w:tc>
        <w:tc>
          <w:tcPr>
            <w:tcW w:w="7547" w:type="dxa"/>
          </w:tcPr>
          <w:p w:rsidR="00A04AD2" w:rsidRDefault="001F184A">
            <w:pPr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Глибина різкості: не менше 5 – 50 мм.</w:t>
            </w:r>
          </w:p>
        </w:tc>
        <w:tc>
          <w:tcPr>
            <w:tcW w:w="1738" w:type="dxa"/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3.4</w:t>
            </w:r>
          </w:p>
        </w:tc>
        <w:tc>
          <w:tcPr>
            <w:tcW w:w="7547" w:type="dxa"/>
          </w:tcPr>
          <w:p w:rsidR="00A04AD2" w:rsidRDefault="001F184A">
            <w:pPr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Діаметр дистального кінця не більше 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3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,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0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 мм.</w:t>
            </w:r>
          </w:p>
        </w:tc>
        <w:tc>
          <w:tcPr>
            <w:tcW w:w="1738" w:type="dxa"/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3.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lang w:val="en-US"/>
              </w:rPr>
              <w:t>5</w:t>
            </w:r>
          </w:p>
        </w:tc>
        <w:tc>
          <w:tcPr>
            <w:tcW w:w="7547" w:type="dxa"/>
          </w:tcPr>
          <w:p w:rsidR="00A04AD2" w:rsidRDefault="001F184A">
            <w:pPr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Діаметр ввідної трубки не більше 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3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,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3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 мм.</w:t>
            </w:r>
          </w:p>
        </w:tc>
        <w:tc>
          <w:tcPr>
            <w:tcW w:w="1738" w:type="dxa"/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3.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lang w:val="en-US"/>
              </w:rPr>
              <w:t>6</w:t>
            </w:r>
          </w:p>
        </w:tc>
        <w:tc>
          <w:tcPr>
            <w:tcW w:w="7547" w:type="dxa"/>
          </w:tcPr>
          <w:p w:rsidR="00A04AD2" w:rsidRDefault="001F184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Тип освітлення</w:t>
            </w:r>
            <w:r>
              <w:rPr>
                <w:rFonts w:ascii="Times New Roman" w:hAnsi="Times New Roman" w:cs="Times New Roman"/>
                <w:iCs/>
                <w:lang w:val="ru-RU"/>
              </w:rPr>
              <w:t>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вітлодіод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(на дистальному кінці)</w:t>
            </w:r>
          </w:p>
        </w:tc>
        <w:tc>
          <w:tcPr>
            <w:tcW w:w="1738" w:type="dxa"/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</w:tcPr>
          <w:p w:rsidR="00A04AD2" w:rsidRDefault="001F1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3.8</w:t>
            </w:r>
          </w:p>
        </w:tc>
        <w:tc>
          <w:tcPr>
            <w:tcW w:w="7547" w:type="dxa"/>
          </w:tcPr>
          <w:p w:rsidR="00A04AD2" w:rsidRDefault="001F184A">
            <w:pPr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Довжина робочої частини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не більше</w:t>
            </w:r>
            <w:r>
              <w:rPr>
                <w:rFonts w:ascii="Times New Roman" w:hAnsi="Times New Roman" w:cs="Times New Roman"/>
                <w:iCs/>
              </w:rPr>
              <w:t xml:space="preserve"> 300 мм.</w:t>
            </w:r>
          </w:p>
        </w:tc>
        <w:tc>
          <w:tcPr>
            <w:tcW w:w="1738" w:type="dxa"/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ind w:right="142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Відео процесор: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lastRenderedPageBreak/>
              <w:t>4.1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ind w:right="142"/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Наявність не менше 4-х роз'ємів USB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 для підключення клавіатури, ножного перемикача або USB-накопичувачів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4.2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Автоматичний контроль яскравості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4.3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Мануальні настройки повинні включать: колірний баланс, посилення контурів зображення, вмикання / вимикання освітлення, </w:t>
            </w:r>
            <w:proofErr w:type="spellStart"/>
            <w:r>
              <w:rPr>
                <w:rFonts w:ascii="Times New Roman" w:hAnsi="Times New Roman" w:cs="Times New Roman"/>
              </w:rPr>
              <w:t>скріншот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4.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lang w:val="en-US"/>
              </w:rPr>
              <w:t>4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Функція налаштування балансу білого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  <w:lang w:val="en-US"/>
              </w:rPr>
              <w:t>4.5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Фіксація поточного зображення, що виводиться камерою (стоп-кадр).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4.6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Знімок екрана (</w:t>
            </w:r>
            <w:proofErr w:type="spellStart"/>
            <w:r>
              <w:rPr>
                <w:rFonts w:ascii="Times New Roman" w:hAnsi="Times New Roman" w:cs="Times New Roman"/>
              </w:rPr>
              <w:t>скріншот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– можливість зробити і зберегти </w:t>
            </w:r>
            <w:proofErr w:type="spellStart"/>
            <w:r>
              <w:rPr>
                <w:rFonts w:ascii="Times New Roman" w:hAnsi="Times New Roman" w:cs="Times New Roman"/>
              </w:rPr>
              <w:t>скріншот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4.7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 «живого» зображення з приєднаного ендоскопічного пристрою.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4.8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Функція масштабування - виконання цифрового збільшення.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4.9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Відеосигнал: інтерфейс DVI-D (цифровий), VGA (або еквівалент)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4.10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варіантів роздільної здатності для налаштування моніторів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не гірше:</w:t>
            </w:r>
          </w:p>
          <w:p w:rsidR="00A04AD2" w:rsidRDefault="001F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SXGA (1280x1024, 60p)</w:t>
            </w:r>
          </w:p>
          <w:p w:rsidR="00A04AD2" w:rsidRDefault="001F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XGA (1024x768, 60p)</w:t>
            </w:r>
          </w:p>
          <w:p w:rsidR="00A04AD2" w:rsidRDefault="001F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720p (1280x720, 60p)</w:t>
            </w:r>
          </w:p>
          <w:p w:rsidR="00A04AD2" w:rsidRDefault="001F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1080p (1920x1080, 30p)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4.11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Наявність функції віддаленого керування.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5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ind w:right="142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Відеомонітор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ind w:right="142"/>
              <w:rPr>
                <w:rFonts w:ascii="Times New Roman" w:hAnsi="Times New Roman" w:cs="Times New Roman"/>
                <w:iCs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5.1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ind w:right="142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Діагональ не менше 2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  <w:lang w:val="ru-RU"/>
              </w:rPr>
              <w:t>4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”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5.2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ind w:right="142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Професійний РК- монітор, тип матриці – TFT.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5.3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ind w:right="142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РК матриця повинна бути захищена оптичним склом.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6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ind w:right="142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Cтійка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пересувна ендоскопічна: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ind w:right="142"/>
              <w:rPr>
                <w:rFonts w:ascii="Times New Roman" w:hAnsi="Times New Roman" w:cs="Times New Roman"/>
                <w:iCs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6.1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ind w:right="142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Повинна мати можливість підключення до електромережі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6.2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ind w:right="142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Кількість полиць - не менш 2-х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  <w:tr w:rsidR="00A04AD2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Cs/>
              </w:rPr>
              <w:t>6.3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1F184A">
            <w:pPr>
              <w:ind w:right="142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Повинна мати чотири колеса, два з яких фіксуються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D2" w:rsidRDefault="00A04AD2">
            <w:pPr>
              <w:rPr>
                <w:rFonts w:ascii="Times New Roman" w:hAnsi="Times New Roman" w:cs="Times New Roman"/>
              </w:rPr>
            </w:pPr>
          </w:p>
        </w:tc>
      </w:tr>
    </w:tbl>
    <w:p w:rsidR="00A04AD2" w:rsidRDefault="001F18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Усі посилання на конкретні торговельну марку чи фірму, патент, </w:t>
      </w:r>
      <w:r>
        <w:rPr>
          <w:rFonts w:ascii="Times New Roman" w:hAnsi="Times New Roman" w:cs="Times New Roman"/>
          <w:b/>
        </w:rPr>
        <w:t>конструкцію або тип предмета закупівлі, джерело його походження або виробника, вважати такими, що містять вираз "або еквівалент".</w:t>
      </w:r>
    </w:p>
    <w:p w:rsidR="00A04AD2" w:rsidRDefault="001F18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Невідповідність запропонованого Учасником товару встановленим медико - технічним вимогам розцінюється як невідповідність пропо</w:t>
      </w:r>
      <w:r>
        <w:rPr>
          <w:rFonts w:ascii="Times New Roman" w:hAnsi="Times New Roman" w:cs="Times New Roman"/>
          <w:b/>
        </w:rPr>
        <w:t>зиції умовам тендерної документації.</w:t>
      </w:r>
    </w:p>
    <w:p w:rsidR="00A04AD2" w:rsidRDefault="00A04AD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04AD2" w:rsidRDefault="00A04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04AD2" w:rsidRDefault="00A04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04AD2" w:rsidRDefault="00A04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04AD2" w:rsidRDefault="00A04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sectPr w:rsidR="00A04AD2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4A" w:rsidRDefault="001F184A">
      <w:pPr>
        <w:spacing w:line="240" w:lineRule="auto"/>
      </w:pPr>
      <w:r>
        <w:separator/>
      </w:r>
    </w:p>
  </w:endnote>
  <w:endnote w:type="continuationSeparator" w:id="0">
    <w:p w:rsidR="001F184A" w:rsidRDefault="001F1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17">
    <w:altName w:val="Times New Roman"/>
    <w:charset w:val="CC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4A" w:rsidRDefault="001F184A">
      <w:pPr>
        <w:spacing w:after="0"/>
      </w:pPr>
      <w:r>
        <w:separator/>
      </w:r>
    </w:p>
  </w:footnote>
  <w:footnote w:type="continuationSeparator" w:id="0">
    <w:p w:rsidR="001F184A" w:rsidRDefault="001F18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D2" w:rsidRDefault="00A04AD2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AD2" w:rsidRDefault="001F184A">
    <w:pPr>
      <w:spacing w:line="1" w:lineRule="exact"/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4000500</wp:posOffset>
              </wp:positionH>
              <wp:positionV relativeFrom="page">
                <wp:posOffset>163830</wp:posOffset>
              </wp:positionV>
              <wp:extent cx="77470" cy="186055"/>
              <wp:effectExtent l="0" t="0" r="0" b="0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747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4AD2" w:rsidRDefault="001F184A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Надпись 17" o:spid="_x0000_s1026" o:spt="202" type="#_x0000_t202" style="position:absolute;left:0pt;margin-left:315pt;margin-top:12.9pt;height:14.65pt;width:6.1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Z0IA9YAAAAJAQAA&#10;DwAAAAAAAAABACAAAAAiAAAAZHJzL2Rvd25yZXYueG1sUEsBAhQAFAAAAAgAh07iQIs22JTiAQAA&#10;qQMAAA4AAAAAAAAAAQAgAAAAJQ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3A1B92">
                    <w:pPr>
                      <w:pStyle w:val="45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6664325</wp:posOffset>
              </wp:positionH>
              <wp:positionV relativeFrom="page">
                <wp:posOffset>517525</wp:posOffset>
              </wp:positionV>
              <wp:extent cx="81915" cy="170815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81915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04AD2" w:rsidRDefault="00A04AD2">
                          <w:pPr>
                            <w:pStyle w:val="2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Надпись 19" o:spid="_x0000_s1026" o:spt="202" type="#_x0000_t202" style="position:absolute;left:0pt;margin-left:524.75pt;margin-top:40.75pt;height:13.45pt;width:6.4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4okJDWAAAADAEAAA8A&#10;AAAAAAAAAQAgAAAAIgAAAGRycy9kb3ducmV2LnhtbFBLAQIUABQAAAAIAIdO4kDO2svd4AEAAKkD&#10;AAAOAAAAAAAAAAEAIAAAACU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229D0B">
                    <w:pPr>
                      <w:pStyle w:val="45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8"/>
      <w:numFmt w:val="bullet"/>
      <w:lvlText w:val="-"/>
      <w:lvlJc w:val="left"/>
      <w:pPr>
        <w:tabs>
          <w:tab w:val="left" w:pos="0"/>
        </w:tabs>
        <w:ind w:left="81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2">
    <w:nsid w:val="189B1886"/>
    <w:multiLevelType w:val="multilevel"/>
    <w:tmpl w:val="189B1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77135E"/>
    <w:multiLevelType w:val="multilevel"/>
    <w:tmpl w:val="2F77135E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">
    <w:nsid w:val="657D38ED"/>
    <w:multiLevelType w:val="multilevel"/>
    <w:tmpl w:val="657D38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AA00EC0"/>
    <w:multiLevelType w:val="multilevel"/>
    <w:tmpl w:val="7AA00EC0"/>
    <w:lvl w:ilvl="0">
      <w:start w:val="1"/>
      <w:numFmt w:val="decimal"/>
      <w:lvlText w:val="%1)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numFmt w:val="bullet"/>
      <w:lvlText w:val="•"/>
      <w:lvlJc w:val="left"/>
      <w:pPr>
        <w:ind w:left="1914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908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03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7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2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86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80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75" w:hanging="2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72"/>
    <w:rsid w:val="00011C7A"/>
    <w:rsid w:val="0001529C"/>
    <w:rsid w:val="00027F32"/>
    <w:rsid w:val="000315DB"/>
    <w:rsid w:val="0005231D"/>
    <w:rsid w:val="0006570F"/>
    <w:rsid w:val="0009132B"/>
    <w:rsid w:val="0009631F"/>
    <w:rsid w:val="000A3FA5"/>
    <w:rsid w:val="000A4110"/>
    <w:rsid w:val="000B6CB4"/>
    <w:rsid w:val="000C77C9"/>
    <w:rsid w:val="000F3098"/>
    <w:rsid w:val="000F508D"/>
    <w:rsid w:val="000F7965"/>
    <w:rsid w:val="00110517"/>
    <w:rsid w:val="001311B9"/>
    <w:rsid w:val="00152050"/>
    <w:rsid w:val="00166FA2"/>
    <w:rsid w:val="001833F7"/>
    <w:rsid w:val="001B0118"/>
    <w:rsid w:val="001B4315"/>
    <w:rsid w:val="001C4C88"/>
    <w:rsid w:val="001D4615"/>
    <w:rsid w:val="001D7928"/>
    <w:rsid w:val="001F184A"/>
    <w:rsid w:val="001F6A9C"/>
    <w:rsid w:val="00235E58"/>
    <w:rsid w:val="002361E7"/>
    <w:rsid w:val="002A21CB"/>
    <w:rsid w:val="002B61C3"/>
    <w:rsid w:val="002B6AC0"/>
    <w:rsid w:val="002C2489"/>
    <w:rsid w:val="002C4033"/>
    <w:rsid w:val="002D4646"/>
    <w:rsid w:val="002F63D5"/>
    <w:rsid w:val="003071E9"/>
    <w:rsid w:val="0030751B"/>
    <w:rsid w:val="00323F36"/>
    <w:rsid w:val="00342639"/>
    <w:rsid w:val="00371CD9"/>
    <w:rsid w:val="00374675"/>
    <w:rsid w:val="00395AC1"/>
    <w:rsid w:val="003A2984"/>
    <w:rsid w:val="00420F0B"/>
    <w:rsid w:val="0044118B"/>
    <w:rsid w:val="0044406B"/>
    <w:rsid w:val="00456C9B"/>
    <w:rsid w:val="004619A2"/>
    <w:rsid w:val="004922DB"/>
    <w:rsid w:val="004A546A"/>
    <w:rsid w:val="004B19C3"/>
    <w:rsid w:val="004C4E16"/>
    <w:rsid w:val="005460BB"/>
    <w:rsid w:val="005A4DC5"/>
    <w:rsid w:val="005B5AF7"/>
    <w:rsid w:val="005B64DA"/>
    <w:rsid w:val="005C56CE"/>
    <w:rsid w:val="005D380F"/>
    <w:rsid w:val="005F1022"/>
    <w:rsid w:val="005F5256"/>
    <w:rsid w:val="00604DD9"/>
    <w:rsid w:val="0062673E"/>
    <w:rsid w:val="0063330C"/>
    <w:rsid w:val="00635C86"/>
    <w:rsid w:val="006540E5"/>
    <w:rsid w:val="00664B64"/>
    <w:rsid w:val="00666886"/>
    <w:rsid w:val="006720CA"/>
    <w:rsid w:val="00680118"/>
    <w:rsid w:val="006801A9"/>
    <w:rsid w:val="00682EC1"/>
    <w:rsid w:val="006E17D2"/>
    <w:rsid w:val="00711687"/>
    <w:rsid w:val="0071595A"/>
    <w:rsid w:val="0071677D"/>
    <w:rsid w:val="00722DB3"/>
    <w:rsid w:val="00730254"/>
    <w:rsid w:val="00732072"/>
    <w:rsid w:val="00751624"/>
    <w:rsid w:val="007658BB"/>
    <w:rsid w:val="007959A0"/>
    <w:rsid w:val="00797B91"/>
    <w:rsid w:val="007E7810"/>
    <w:rsid w:val="007F5D91"/>
    <w:rsid w:val="00801F85"/>
    <w:rsid w:val="0081601E"/>
    <w:rsid w:val="00826260"/>
    <w:rsid w:val="00843C11"/>
    <w:rsid w:val="00852F16"/>
    <w:rsid w:val="008746C6"/>
    <w:rsid w:val="008805B0"/>
    <w:rsid w:val="0088145F"/>
    <w:rsid w:val="008C205E"/>
    <w:rsid w:val="008D129F"/>
    <w:rsid w:val="008D27A1"/>
    <w:rsid w:val="008F3E1D"/>
    <w:rsid w:val="00956EF3"/>
    <w:rsid w:val="009661C4"/>
    <w:rsid w:val="00995DD9"/>
    <w:rsid w:val="009B6DE1"/>
    <w:rsid w:val="009D2DDE"/>
    <w:rsid w:val="009D3FE0"/>
    <w:rsid w:val="009E6FDD"/>
    <w:rsid w:val="00A04AD2"/>
    <w:rsid w:val="00A06B2A"/>
    <w:rsid w:val="00A16A6A"/>
    <w:rsid w:val="00A16E1B"/>
    <w:rsid w:val="00A23ACF"/>
    <w:rsid w:val="00A247C9"/>
    <w:rsid w:val="00A25A82"/>
    <w:rsid w:val="00A25E87"/>
    <w:rsid w:val="00A67417"/>
    <w:rsid w:val="00A841B9"/>
    <w:rsid w:val="00AB0516"/>
    <w:rsid w:val="00AE55C9"/>
    <w:rsid w:val="00B23584"/>
    <w:rsid w:val="00B44072"/>
    <w:rsid w:val="00B52132"/>
    <w:rsid w:val="00B53158"/>
    <w:rsid w:val="00B54323"/>
    <w:rsid w:val="00B61FBC"/>
    <w:rsid w:val="00BA12BE"/>
    <w:rsid w:val="00BA71DA"/>
    <w:rsid w:val="00BB320D"/>
    <w:rsid w:val="00BF0506"/>
    <w:rsid w:val="00C035E3"/>
    <w:rsid w:val="00C34FDA"/>
    <w:rsid w:val="00C36F78"/>
    <w:rsid w:val="00C4468F"/>
    <w:rsid w:val="00C5597B"/>
    <w:rsid w:val="00C75B2C"/>
    <w:rsid w:val="00CC78BD"/>
    <w:rsid w:val="00CD2F72"/>
    <w:rsid w:val="00CE2229"/>
    <w:rsid w:val="00CF3240"/>
    <w:rsid w:val="00D100A2"/>
    <w:rsid w:val="00D33580"/>
    <w:rsid w:val="00D34D58"/>
    <w:rsid w:val="00DE10B1"/>
    <w:rsid w:val="00DF49F5"/>
    <w:rsid w:val="00E104F2"/>
    <w:rsid w:val="00E13675"/>
    <w:rsid w:val="00E140BA"/>
    <w:rsid w:val="00E15FA4"/>
    <w:rsid w:val="00E22D1C"/>
    <w:rsid w:val="00E36E71"/>
    <w:rsid w:val="00E654B4"/>
    <w:rsid w:val="00E928F9"/>
    <w:rsid w:val="00E95F87"/>
    <w:rsid w:val="00EA247C"/>
    <w:rsid w:val="00EB156E"/>
    <w:rsid w:val="00EB20A7"/>
    <w:rsid w:val="00ED2A29"/>
    <w:rsid w:val="00F006AF"/>
    <w:rsid w:val="00F47FAF"/>
    <w:rsid w:val="00F51F7E"/>
    <w:rsid w:val="00F619BB"/>
    <w:rsid w:val="00FA21B2"/>
    <w:rsid w:val="00FB26D3"/>
    <w:rsid w:val="00FB64BF"/>
    <w:rsid w:val="00FC09ED"/>
    <w:rsid w:val="00FC7482"/>
    <w:rsid w:val="00FE56D8"/>
    <w:rsid w:val="00FF52CD"/>
    <w:rsid w:val="00FF54EE"/>
    <w:rsid w:val="0719378E"/>
    <w:rsid w:val="09516759"/>
    <w:rsid w:val="141A6E82"/>
    <w:rsid w:val="2574578D"/>
    <w:rsid w:val="29A00C50"/>
    <w:rsid w:val="4AE51CC2"/>
    <w:rsid w:val="4B5C7E33"/>
    <w:rsid w:val="50D95A87"/>
    <w:rsid w:val="58293998"/>
    <w:rsid w:val="58FA437E"/>
    <w:rsid w:val="627F58AE"/>
    <w:rsid w:val="639C10EA"/>
    <w:rsid w:val="63C06309"/>
    <w:rsid w:val="6D3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85EEA9-1922-4AE2-9717-BCBE8EB3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semiHidden/>
    <w:qFormat/>
    <w:pPr>
      <w:shd w:val="clear" w:color="auto" w:fill="000080"/>
      <w:spacing w:after="200" w:line="276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iPriority w:val="99"/>
    <w:qFormat/>
    <w:pPr>
      <w:suppressAutoHyphens/>
      <w:spacing w:after="120" w:line="276" w:lineRule="auto"/>
    </w:pPr>
    <w:rPr>
      <w:rFonts w:eastAsia="Lucida Sans Unicode" w:cs="font1217"/>
      <w:lang w:val="ru-RU" w:eastAsia="ar-SA"/>
    </w:rPr>
  </w:style>
  <w:style w:type="paragraph" w:styleId="ad">
    <w:name w:val="Title"/>
    <w:basedOn w:val="a"/>
    <w:next w:val="a"/>
    <w:link w:val="ae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2">
    <w:name w:val="Subtitle"/>
    <w:basedOn w:val="a"/>
    <w:next w:val="a"/>
    <w:link w:val="af3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">
    <w:name w:val="HTML Preformatted"/>
    <w:basedOn w:val="a"/>
    <w:link w:val="HTML0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val="ru-RU" w:eastAsia="zh-CN"/>
    </w:rPr>
  </w:style>
  <w:style w:type="table" w:styleId="af4">
    <w:name w:val="Table Grid"/>
    <w:basedOn w:val="a1"/>
    <w:uiPriority w:val="59"/>
    <w:qFormat/>
    <w:rPr>
      <w:rFonts w:ascii="Calibri" w:eastAsia="Calibri" w:hAnsi="Calibri" w:cs="Calibri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Calibri" w:eastAsia="Calibri" w:hAnsi="Calibri" w:cs="Calibri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libri" w:eastAsia="Calibri" w:hAnsi="Calibri" w:cs="Calibri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Calibri" w:eastAsia="Calibri" w:hAnsi="Calibri" w:cs="Calibri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="Calibri" w:eastAsia="Calibri" w:hAnsi="Calibri" w:cs="Calibri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="Calibri" w:eastAsia="Calibri" w:hAnsi="Calibri" w:cs="Calibri"/>
      <w:b/>
      <w:sz w:val="20"/>
      <w:szCs w:val="20"/>
      <w:lang w:val="uk-UA" w:eastAsia="ru-RU"/>
    </w:rPr>
  </w:style>
  <w:style w:type="table" w:customStyle="1" w:styleId="TableNormal">
    <w:name w:val="Table Normal"/>
    <w:qFormat/>
    <w:rPr>
      <w:rFonts w:ascii="Calibri" w:eastAsia="Calibri" w:hAnsi="Calibri" w:cs="Calibri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Название Знак"/>
    <w:basedOn w:val="a0"/>
    <w:link w:val="ad"/>
    <w:uiPriority w:val="99"/>
    <w:qFormat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Calibri" w:hAnsi="Segoe UI" w:cs="Segoe UI"/>
      <w:sz w:val="18"/>
      <w:szCs w:val="18"/>
      <w:lang w:val="uk-UA" w:eastAsia="ru-RU"/>
    </w:rPr>
  </w:style>
  <w:style w:type="character" w:customStyle="1" w:styleId="qowt-font2-timesnewroman">
    <w:name w:val="qowt-font2-timesnewroman"/>
    <w:uiPriority w:val="99"/>
    <w:qFormat/>
    <w:rPr>
      <w:rFonts w:cs="Times New Roman"/>
    </w:r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qFormat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Pr>
      <w:rFonts w:ascii="Calibri" w:eastAsia="Lucida Sans Unicode" w:hAnsi="Calibri" w:cs="font1217"/>
      <w:lang w:eastAsia="ar-SA"/>
    </w:rPr>
  </w:style>
  <w:style w:type="character" w:customStyle="1" w:styleId="FontStyle15">
    <w:name w:val="Font Style15"/>
    <w:qFormat/>
    <w:rPr>
      <w:rFonts w:ascii="Times New Roman" w:hAnsi="Times New Roman"/>
      <w:sz w:val="22"/>
    </w:rPr>
  </w:style>
  <w:style w:type="paragraph" w:customStyle="1" w:styleId="af7">
    <w:name w:val="Абзац списку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">
    <w:name w:val="Font Style"/>
    <w:qFormat/>
    <w:rPr>
      <w:rFonts w:ascii="Times New Roman" w:eastAsia="Times New Roman" w:hAnsi="Times New Roman" w:cs="Times New Roman" w:hint="default"/>
      <w:color w:val="000000"/>
      <w:sz w:val="28"/>
    </w:rPr>
  </w:style>
  <w:style w:type="paragraph" w:customStyle="1" w:styleId="31">
    <w:name w:val="Абзац списка3"/>
    <w:basedOn w:val="a"/>
    <w:qFormat/>
    <w:pPr>
      <w:suppressAutoHyphens/>
      <w:spacing w:after="200" w:line="252" w:lineRule="auto"/>
      <w:ind w:left="720"/>
      <w:contextualSpacing/>
    </w:pPr>
    <w:rPr>
      <w:rFonts w:cs="Times New Roman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Calibri" w:eastAsia="Calibri" w:hAnsi="Calibri" w:cs="Calibri"/>
      <w:lang w:val="uk-UA"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Calibri" w:eastAsia="Calibri" w:hAnsi="Calibri" w:cs="Calibri"/>
      <w:lang w:val="uk-UA" w:eastAsia="ru-RU"/>
    </w:rPr>
  </w:style>
  <w:style w:type="character" w:customStyle="1" w:styleId="21">
    <w:name w:val="Колонтитул (2)_"/>
    <w:link w:val="22"/>
    <w:qFormat/>
  </w:style>
  <w:style w:type="paragraph" w:customStyle="1" w:styleId="22">
    <w:name w:val="Колонтитул (2)"/>
    <w:basedOn w:val="a"/>
    <w:link w:val="21"/>
    <w:qFormat/>
    <w:pPr>
      <w:widowControl w:val="0"/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table" w:customStyle="1" w:styleId="7">
    <w:name w:val="7"/>
    <w:basedOn w:val="TableNormal"/>
    <w:qFormat/>
    <w:rPr>
      <w:lang w:val="ru-RU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TableNormal"/>
    <w:qFormat/>
    <w:rPr>
      <w:lang w:val="ru-RU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uk-UA" w:eastAsia="en-US"/>
    </w:rPr>
  </w:style>
  <w:style w:type="character" w:customStyle="1" w:styleId="af6">
    <w:name w:val="Абзац списка Знак"/>
    <w:link w:val="af5"/>
    <w:uiPriority w:val="34"/>
    <w:qFormat/>
    <w:locked/>
    <w:rPr>
      <w:rFonts w:ascii="Calibri" w:eastAsia="Calibri" w:hAnsi="Calibri" w:cs="Calibri"/>
      <w:lang w:val="uk-UA"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ps">
    <w:name w:val="hps"/>
    <w:qFormat/>
  </w:style>
  <w:style w:type="character" w:customStyle="1" w:styleId="a8">
    <w:name w:val="Схема документа Знак"/>
    <w:link w:val="a7"/>
    <w:semiHidden/>
    <w:qFormat/>
    <w:locked/>
    <w:rPr>
      <w:sz w:val="24"/>
      <w:szCs w:val="24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qFormat/>
    <w:rPr>
      <w:rFonts w:ascii="Segoe UI" w:eastAsia="Calibri" w:hAnsi="Segoe UI" w:cs="Segoe UI"/>
      <w:sz w:val="16"/>
      <w:szCs w:val="16"/>
      <w:lang w:val="uk-UA" w:eastAsia="ru-RU"/>
    </w:rPr>
  </w:style>
  <w:style w:type="character" w:customStyle="1" w:styleId="apple-converted-space">
    <w:name w:val="apple-converted-space"/>
    <w:qFormat/>
  </w:style>
  <w:style w:type="character" w:customStyle="1" w:styleId="apple-style-span">
    <w:name w:val="apple-style-spa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buh</cp:lastModifiedBy>
  <cp:revision>3</cp:revision>
  <dcterms:created xsi:type="dcterms:W3CDTF">2024-09-10T06:18:00Z</dcterms:created>
  <dcterms:modified xsi:type="dcterms:W3CDTF">2024-09-10T06:20:00Z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5EA55A0B96DD4B36AFED29A2C906C252_12</vt:lpwstr>
  </property>
</Properties>
</file>