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40" w:rsidRDefault="00D83440" w:rsidP="00E435CE">
      <w:pPr>
        <w:rPr>
          <w:szCs w:val="28"/>
          <w:lang w:val="ru-RU"/>
        </w:rPr>
      </w:pPr>
    </w:p>
    <w:p w:rsidR="00E435CE" w:rsidRPr="00B94592" w:rsidRDefault="000A5076" w:rsidP="00A45FEC">
      <w:pPr>
        <w:jc w:val="center"/>
        <w:rPr>
          <w:noProof/>
          <w:szCs w:val="28"/>
        </w:rPr>
      </w:pPr>
      <w:r>
        <w:rPr>
          <w:noProof/>
          <w:szCs w:val="28"/>
        </w:rPr>
        <w:t>ЗВІТ</w:t>
      </w:r>
    </w:p>
    <w:p w:rsidR="00F37FAC" w:rsidRPr="00B94592" w:rsidRDefault="000A5076" w:rsidP="000A5076">
      <w:pPr>
        <w:contextualSpacing/>
        <w:jc w:val="center"/>
        <w:rPr>
          <w:noProof/>
          <w:szCs w:val="28"/>
        </w:rPr>
      </w:pPr>
      <w:r>
        <w:rPr>
          <w:noProof/>
          <w:szCs w:val="28"/>
        </w:rPr>
        <w:t>п</w:t>
      </w:r>
      <w:bookmarkStart w:id="0" w:name="_GoBack"/>
      <w:bookmarkEnd w:id="0"/>
      <w:r w:rsidR="00F37FAC" w:rsidRPr="00B94592">
        <w:rPr>
          <w:noProof/>
          <w:szCs w:val="28"/>
        </w:rPr>
        <w:t>ро  стан роботи зі зверненнями громадян</w:t>
      </w:r>
    </w:p>
    <w:p w:rsidR="00F37FAC" w:rsidRPr="00B94592" w:rsidRDefault="00F37FAC" w:rsidP="000A5076">
      <w:pPr>
        <w:contextualSpacing/>
        <w:jc w:val="center"/>
        <w:rPr>
          <w:noProof/>
          <w:szCs w:val="28"/>
        </w:rPr>
      </w:pPr>
      <w:r w:rsidRPr="00B94592">
        <w:rPr>
          <w:noProof/>
          <w:szCs w:val="28"/>
        </w:rPr>
        <w:t xml:space="preserve">за підсумками </w:t>
      </w:r>
      <w:r w:rsidR="00DA1B8E" w:rsidRPr="00B94592">
        <w:rPr>
          <w:noProof/>
          <w:szCs w:val="28"/>
        </w:rPr>
        <w:t xml:space="preserve"> 2021</w:t>
      </w:r>
      <w:r w:rsidRPr="00B94592">
        <w:rPr>
          <w:noProof/>
          <w:szCs w:val="28"/>
        </w:rPr>
        <w:t xml:space="preserve"> року</w:t>
      </w:r>
    </w:p>
    <w:p w:rsidR="005A6626" w:rsidRPr="00B94592" w:rsidRDefault="005A6626" w:rsidP="005A6626">
      <w:pPr>
        <w:ind w:firstLine="709"/>
        <w:contextualSpacing/>
        <w:rPr>
          <w:noProof/>
          <w:szCs w:val="28"/>
        </w:rPr>
      </w:pPr>
    </w:p>
    <w:p w:rsidR="00F37FAC" w:rsidRPr="00B94592" w:rsidRDefault="00F37FAC" w:rsidP="00F37FAC">
      <w:pPr>
        <w:widowControl w:val="0"/>
        <w:ind w:firstLine="720"/>
        <w:rPr>
          <w:noProof/>
          <w:szCs w:val="28"/>
        </w:rPr>
      </w:pPr>
      <w:r w:rsidRPr="00B94592">
        <w:rPr>
          <w:noProof/>
          <w:szCs w:val="28"/>
        </w:rPr>
        <w:t xml:space="preserve">Протягом </w:t>
      </w:r>
      <w:r w:rsidR="00DA1B8E" w:rsidRPr="00B94592">
        <w:rPr>
          <w:noProof/>
          <w:szCs w:val="28"/>
        </w:rPr>
        <w:t xml:space="preserve">2021 року </w:t>
      </w:r>
      <w:r w:rsidRPr="00B94592">
        <w:rPr>
          <w:noProof/>
          <w:szCs w:val="28"/>
        </w:rPr>
        <w:t>управлінням вживалися відповідні заходи по виконанню вимог Закону України «Про звернення громадян», Указу Президента України від 07.02.2008 № 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самоврядування".</w:t>
      </w:r>
    </w:p>
    <w:p w:rsidR="00F37FAC" w:rsidRDefault="00F37FAC" w:rsidP="00F37FAC">
      <w:pPr>
        <w:widowControl w:val="0"/>
        <w:ind w:firstLine="720"/>
        <w:rPr>
          <w:noProof/>
          <w:szCs w:val="28"/>
        </w:rPr>
      </w:pPr>
      <w:r w:rsidRPr="00B94592">
        <w:rPr>
          <w:noProof/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місцевого самоврядування, управлінням проводиться робота щодо забезпечення реалізації конституц</w:t>
      </w:r>
      <w:r w:rsidR="00660AE1">
        <w:rPr>
          <w:noProof/>
          <w:szCs w:val="28"/>
        </w:rPr>
        <w:t xml:space="preserve">ійних прав громадян на </w:t>
      </w:r>
      <w:r w:rsidRPr="00B94592">
        <w:rPr>
          <w:noProof/>
          <w:szCs w:val="28"/>
        </w:rPr>
        <w:t>звернення, обов’язкове одержання обгрунтованої відповіді, неухильного виконання норм Закону України «Про звернення громадян», удосконалення роботи зі зверненнями громадян.</w:t>
      </w:r>
    </w:p>
    <w:p w:rsidR="00200E38" w:rsidRDefault="00C44019" w:rsidP="00B506AA">
      <w:pPr>
        <w:widowControl w:val="0"/>
        <w:ind w:firstLine="720"/>
      </w:pPr>
      <w:r>
        <w:t xml:space="preserve">Протягом звітного періоду до управління </w:t>
      </w:r>
      <w:r w:rsidR="00200E38">
        <w:t>надійшло 1020 звернень, що на 14,1 %  більше</w:t>
      </w:r>
      <w:r>
        <w:t>, ніж за відп</w:t>
      </w:r>
      <w:r w:rsidR="00200E38">
        <w:t>овідний період 2020 року (876</w:t>
      </w:r>
      <w:r>
        <w:t xml:space="preserve">). </w:t>
      </w:r>
      <w:r w:rsidR="00200E38">
        <w:t>Кількість звернень збільшилася у зв’язку з відновленням дії Постанови Кабінету Міністрів України в</w:t>
      </w:r>
      <w:r w:rsidR="00200E38" w:rsidRPr="00200E38">
        <w:t>ід 23 травня 2011 р. № 553</w:t>
      </w:r>
      <w:r w:rsidR="00200E38">
        <w:t>.</w:t>
      </w:r>
    </w:p>
    <w:p w:rsidR="00C44019" w:rsidRDefault="00200E38" w:rsidP="00B506AA">
      <w:pPr>
        <w:widowControl w:val="0"/>
        <w:ind w:firstLine="720"/>
      </w:pPr>
      <w:r>
        <w:t xml:space="preserve">З них: – 39,5 % (405) </w:t>
      </w:r>
      <w:r w:rsidR="00C44019">
        <w:t xml:space="preserve"> надійшло з Єдиної гарячої лінії для звернень громадян</w:t>
      </w:r>
      <w:r>
        <w:t xml:space="preserve"> Дніпровської міської ради; – 23,5 % (240)</w:t>
      </w:r>
      <w:r w:rsidR="00C44019">
        <w:t xml:space="preserve"> </w:t>
      </w:r>
      <w:r w:rsidR="00C44019" w:rsidRPr="00C44019">
        <w:t>звернення що надійшли на Урядову гарячу лінію Дніпровського регіонального контактного центру</w:t>
      </w:r>
      <w:r w:rsidR="00C44019">
        <w:t xml:space="preserve"> та з Контакт-центру «Гаряча лінія голови Дніпропетровської облдержадміністрації»; </w:t>
      </w:r>
      <w:r>
        <w:t>29,1</w:t>
      </w:r>
      <w:r w:rsidR="00C44019">
        <w:t xml:space="preserve">% </w:t>
      </w:r>
      <w:r>
        <w:t xml:space="preserve">(297) </w:t>
      </w:r>
      <w:r w:rsidR="00C44019">
        <w:t>стано</w:t>
      </w:r>
      <w:r>
        <w:t>вили письмові звернення</w:t>
      </w:r>
      <w:r w:rsidR="00C44019">
        <w:t>; – 7</w:t>
      </w:r>
      <w:r>
        <w:t>,8</w:t>
      </w:r>
      <w:r w:rsidR="00C44019">
        <w:t xml:space="preserve"> %</w:t>
      </w:r>
      <w:r>
        <w:t xml:space="preserve"> (80)  електронні звернення.</w:t>
      </w:r>
    </w:p>
    <w:p w:rsidR="00177C9A" w:rsidRDefault="006F1CA1" w:rsidP="00B506AA">
      <w:pPr>
        <w:widowControl w:val="0"/>
        <w:ind w:firstLine="720"/>
      </w:pPr>
      <w:r w:rsidRPr="006F1CA1">
        <w:t>У зв`зку з внесенням змін до деяких постанов Кабінету Міністрів України щодо удосконалення діяльності органів державного архітектурно-будівельного контролю та нагляду від 29.03.2021 № 303, управлінням створено комісію щодо розгляду звернень у сфері містобудівної діяльності. Основним завданням комісії є колегіальний розгляд отриманих звернень фізичних чи юридичних осіб про порушення суб’єктом містобудування вимог законодавства у сфері містобудівної діяльності. За результатами розгляду звернення, за участю заявника та замовника або їх представників, комісія шляхом голосування приймає рішення щодо обґрунтованості або необґрунтованості позапланової перевірки, а також необхідності її проведення на підставі звернення. Інформація про розклад засідань комісій щодо розгляду звернень у сфері містобудівної діяльності публікується на сторінці управління офіційного веб-сайту Дніпровської міської ради.</w:t>
      </w:r>
      <w:r>
        <w:t xml:space="preserve"> </w:t>
      </w:r>
    </w:p>
    <w:p w:rsidR="006F1CA1" w:rsidRDefault="006F1CA1" w:rsidP="00B506AA">
      <w:pPr>
        <w:widowControl w:val="0"/>
        <w:ind w:firstLine="720"/>
      </w:pPr>
      <w:r>
        <w:t>За звітний період</w:t>
      </w:r>
      <w:r w:rsidR="00830DF7">
        <w:t xml:space="preserve"> із </w:t>
      </w:r>
      <w:r w:rsidR="00830DF7" w:rsidRPr="00830DF7">
        <w:t>загальної кількості звернень</w:t>
      </w:r>
      <w:r>
        <w:t xml:space="preserve"> було призначено та розглянуто комісією</w:t>
      </w:r>
      <w:r w:rsidR="00830DF7">
        <w:t xml:space="preserve"> – 49,3%</w:t>
      </w:r>
      <w:r>
        <w:t xml:space="preserve"> </w:t>
      </w:r>
      <w:r w:rsidR="00830DF7">
        <w:t xml:space="preserve"> (</w:t>
      </w:r>
      <w:r>
        <w:t>503</w:t>
      </w:r>
      <w:r w:rsidR="00830DF7">
        <w:t>) звернень</w:t>
      </w:r>
      <w:r>
        <w:t>.</w:t>
      </w:r>
    </w:p>
    <w:p w:rsidR="00177C9A" w:rsidRDefault="006F1CA1" w:rsidP="006F1CA1">
      <w:pPr>
        <w:widowControl w:val="0"/>
        <w:ind w:firstLine="720"/>
      </w:pPr>
      <w:r>
        <w:t xml:space="preserve">За видами звернень, визначених Законом України «Про звернення громадян» </w:t>
      </w:r>
      <w:r w:rsidR="00830DF7">
        <w:t xml:space="preserve">від загальної кількості звернень складають: </w:t>
      </w:r>
      <w:r>
        <w:t>заяви – 91,6 %</w:t>
      </w:r>
      <w:r w:rsidR="00830DF7">
        <w:t xml:space="preserve"> (</w:t>
      </w:r>
      <w:r w:rsidR="00177C9A">
        <w:t>934)</w:t>
      </w:r>
      <w:r>
        <w:t>, скарги становили 8,2 %</w:t>
      </w:r>
      <w:r w:rsidR="00177C9A">
        <w:t xml:space="preserve"> (84)</w:t>
      </w:r>
      <w:r>
        <w:t>, пропозиції (зауваження) – 0,2 %</w:t>
      </w:r>
      <w:r w:rsidR="00177C9A">
        <w:t xml:space="preserve"> (2)</w:t>
      </w:r>
      <w:r>
        <w:t xml:space="preserve">. </w:t>
      </w:r>
    </w:p>
    <w:p w:rsidR="00F37FAC" w:rsidRPr="006F1CA1" w:rsidRDefault="006F1CA1" w:rsidP="006F1CA1">
      <w:pPr>
        <w:widowControl w:val="0"/>
        <w:ind w:firstLine="720"/>
      </w:pPr>
      <w:r>
        <w:t>Відповідно до класифікатора для звернень громадян за ознакою надходження: – перви</w:t>
      </w:r>
      <w:r w:rsidR="007857E8">
        <w:t>нні звернення становили – 77,3</w:t>
      </w:r>
      <w:r>
        <w:t xml:space="preserve"> %</w:t>
      </w:r>
      <w:r w:rsidR="007857E8">
        <w:t xml:space="preserve"> (788)</w:t>
      </w:r>
      <w:r>
        <w:t xml:space="preserve"> від загальн</w:t>
      </w:r>
      <w:r w:rsidR="007857E8">
        <w:t>ої кількості звернень; – повторні – 5,3</w:t>
      </w:r>
      <w:r>
        <w:t xml:space="preserve"> %</w:t>
      </w:r>
      <w:r w:rsidR="007857E8">
        <w:t xml:space="preserve"> (54); – масові – 1,1</w:t>
      </w:r>
      <w:r>
        <w:t xml:space="preserve"> %</w:t>
      </w:r>
      <w:r w:rsidR="007857E8">
        <w:t xml:space="preserve"> (11); – дублетні – 1</w:t>
      </w:r>
      <w:r>
        <w:t>,2 %</w:t>
      </w:r>
      <w:r w:rsidR="007857E8">
        <w:t xml:space="preserve"> (12)</w:t>
      </w:r>
      <w:r>
        <w:t>. Загальна кількість по</w:t>
      </w:r>
      <w:r w:rsidR="007857E8">
        <w:t>вторних звернень становила 54 звернення</w:t>
      </w:r>
      <w:r>
        <w:t>, порівняно з аналогічним періодом 2020 року ї</w:t>
      </w:r>
      <w:r w:rsidR="007857E8">
        <w:t>х кількість збільшилась лише на 0,2</w:t>
      </w:r>
      <w:r>
        <w:t xml:space="preserve"> %. </w:t>
      </w:r>
      <w:r w:rsidR="00F37FAC" w:rsidRPr="00B94592">
        <w:rPr>
          <w:noProof/>
          <w:szCs w:val="28"/>
        </w:rPr>
        <w:t xml:space="preserve">З метою запобігання виникненню повторних звернень управлінням систематично </w:t>
      </w:r>
      <w:r w:rsidR="00F37FAC" w:rsidRPr="00B94592">
        <w:rPr>
          <w:noProof/>
          <w:szCs w:val="28"/>
        </w:rPr>
        <w:lastRenderedPageBreak/>
        <w:t>проводиться аналіз причин таких звернень.</w:t>
      </w:r>
    </w:p>
    <w:p w:rsidR="007857E8" w:rsidRDefault="007857E8" w:rsidP="00C454C3">
      <w:pPr>
        <w:widowControl w:val="0"/>
        <w:ind w:firstLine="720"/>
      </w:pPr>
      <w:r>
        <w:t>За суб’єктом звернення: – індивідуальні звернення становили – 93,1 (950) % від загальної кількості звернень; – анонімні – 0,3 % (3); – колективні – 6,5 % (66).</w:t>
      </w:r>
    </w:p>
    <w:p w:rsidR="00C454C3" w:rsidRDefault="00C454C3" w:rsidP="00660AE1">
      <w:pPr>
        <w:widowControl w:val="0"/>
        <w:ind w:firstLine="709"/>
        <w:rPr>
          <w:noProof/>
          <w:szCs w:val="28"/>
        </w:rPr>
      </w:pPr>
      <w:r w:rsidRPr="00C454C3">
        <w:rPr>
          <w:noProof/>
          <w:szCs w:val="28"/>
        </w:rPr>
        <w:t>Основними питаннями, які поруш</w:t>
      </w:r>
      <w:r w:rsidR="00A57AFA">
        <w:rPr>
          <w:noProof/>
          <w:szCs w:val="28"/>
        </w:rPr>
        <w:t xml:space="preserve">уються у зверненнях громадян - </w:t>
      </w:r>
      <w:r w:rsidR="00E727C8">
        <w:rPr>
          <w:noProof/>
          <w:szCs w:val="28"/>
        </w:rPr>
        <w:t xml:space="preserve">це </w:t>
      </w:r>
      <w:r w:rsidRPr="00C454C3">
        <w:rPr>
          <w:noProof/>
          <w:szCs w:val="28"/>
        </w:rPr>
        <w:t>самовільне</w:t>
      </w:r>
      <w:r w:rsidR="00E727C8">
        <w:rPr>
          <w:noProof/>
          <w:szCs w:val="28"/>
        </w:rPr>
        <w:t xml:space="preserve"> будівництво будівель та споруд, </w:t>
      </w:r>
      <w:r w:rsidRPr="00C454C3">
        <w:rPr>
          <w:noProof/>
          <w:szCs w:val="28"/>
        </w:rPr>
        <w:t>реконструкція існуючих об’єктів ж</w:t>
      </w:r>
      <w:r w:rsidR="00E727C8">
        <w:rPr>
          <w:noProof/>
          <w:szCs w:val="28"/>
        </w:rPr>
        <w:t>итлової та громадської забудови, з</w:t>
      </w:r>
      <w:r w:rsidRPr="00C454C3">
        <w:rPr>
          <w:noProof/>
          <w:szCs w:val="28"/>
        </w:rPr>
        <w:t xml:space="preserve">міна функціонального призначення приміщень без документів, що надають </w:t>
      </w:r>
      <w:r w:rsidR="00E727C8">
        <w:rPr>
          <w:noProof/>
          <w:szCs w:val="28"/>
        </w:rPr>
        <w:t xml:space="preserve">право на проведення таких робіт, </w:t>
      </w:r>
      <w:r w:rsidRPr="00C454C3">
        <w:rPr>
          <w:noProof/>
          <w:szCs w:val="28"/>
        </w:rPr>
        <w:t>порушення вимог добросусідства та умов суміжного проживання, внаслідок здійснення самовільного будівництва та робіт з реконструкції тощо.</w:t>
      </w:r>
    </w:p>
    <w:p w:rsidR="00E727C8" w:rsidRPr="00E727C8" w:rsidRDefault="00E727C8" w:rsidP="00E727C8">
      <w:pPr>
        <w:widowControl w:val="0"/>
        <w:rPr>
          <w:noProof/>
          <w:szCs w:val="28"/>
        </w:rPr>
      </w:pPr>
      <w:r w:rsidRPr="00E727C8">
        <w:rPr>
          <w:noProof/>
          <w:szCs w:val="28"/>
        </w:rPr>
        <w:t>Отримання дозволу на будівництво (реконструкцію)</w:t>
      </w:r>
      <w:r w:rsidR="00947924">
        <w:rPr>
          <w:noProof/>
          <w:szCs w:val="28"/>
        </w:rPr>
        <w:t xml:space="preserve"> 0,4 % (</w:t>
      </w:r>
      <w:r w:rsidRPr="00E727C8">
        <w:rPr>
          <w:noProof/>
          <w:szCs w:val="28"/>
        </w:rPr>
        <w:t>4</w:t>
      </w:r>
      <w:r w:rsidR="00947924">
        <w:rPr>
          <w:noProof/>
          <w:szCs w:val="28"/>
        </w:rPr>
        <w:t>);</w:t>
      </w:r>
    </w:p>
    <w:p w:rsidR="00E727C8" w:rsidRPr="00E727C8" w:rsidRDefault="00E727C8" w:rsidP="00E727C8">
      <w:pPr>
        <w:widowControl w:val="0"/>
        <w:rPr>
          <w:noProof/>
          <w:szCs w:val="28"/>
        </w:rPr>
      </w:pPr>
      <w:r>
        <w:rPr>
          <w:noProof/>
          <w:szCs w:val="28"/>
        </w:rPr>
        <w:t xml:space="preserve">Припинення будівельних робіт </w:t>
      </w:r>
      <w:r w:rsidR="00947924">
        <w:rPr>
          <w:noProof/>
          <w:szCs w:val="28"/>
        </w:rPr>
        <w:t>3,0 % (</w:t>
      </w:r>
      <w:r w:rsidRPr="00E727C8">
        <w:rPr>
          <w:noProof/>
          <w:szCs w:val="28"/>
        </w:rPr>
        <w:t>31</w:t>
      </w:r>
      <w:r w:rsidR="00947924">
        <w:rPr>
          <w:noProof/>
          <w:szCs w:val="28"/>
        </w:rPr>
        <w:t>);</w:t>
      </w:r>
    </w:p>
    <w:p w:rsidR="00E727C8" w:rsidRPr="00E727C8" w:rsidRDefault="00E727C8" w:rsidP="00E727C8">
      <w:pPr>
        <w:widowControl w:val="0"/>
        <w:rPr>
          <w:noProof/>
          <w:szCs w:val="28"/>
        </w:rPr>
      </w:pPr>
      <w:r>
        <w:rPr>
          <w:noProof/>
          <w:szCs w:val="28"/>
        </w:rPr>
        <w:t>Самовільне будівництво</w:t>
      </w:r>
      <w:r w:rsidR="00947924">
        <w:rPr>
          <w:noProof/>
          <w:szCs w:val="28"/>
        </w:rPr>
        <w:t xml:space="preserve"> 14,1% </w:t>
      </w:r>
      <w:r>
        <w:rPr>
          <w:noProof/>
          <w:szCs w:val="28"/>
        </w:rPr>
        <w:t xml:space="preserve"> </w:t>
      </w:r>
      <w:r w:rsidR="00947924">
        <w:rPr>
          <w:noProof/>
          <w:szCs w:val="28"/>
        </w:rPr>
        <w:t>(</w:t>
      </w:r>
      <w:r>
        <w:rPr>
          <w:noProof/>
          <w:szCs w:val="28"/>
        </w:rPr>
        <w:t>1</w:t>
      </w:r>
      <w:r w:rsidRPr="00E727C8">
        <w:rPr>
          <w:noProof/>
          <w:szCs w:val="28"/>
        </w:rPr>
        <w:t>44</w:t>
      </w:r>
      <w:r w:rsidR="00947924">
        <w:rPr>
          <w:noProof/>
          <w:szCs w:val="28"/>
        </w:rPr>
        <w:t>);</w:t>
      </w:r>
    </w:p>
    <w:p w:rsidR="00E727C8" w:rsidRPr="00E727C8" w:rsidRDefault="00E727C8" w:rsidP="00E727C8">
      <w:pPr>
        <w:widowControl w:val="0"/>
        <w:rPr>
          <w:noProof/>
          <w:szCs w:val="28"/>
        </w:rPr>
      </w:pPr>
      <w:r w:rsidRPr="00E727C8">
        <w:rPr>
          <w:noProof/>
          <w:szCs w:val="28"/>
        </w:rPr>
        <w:t>Знесення гаражів</w:t>
      </w:r>
      <w:r w:rsidR="00947924">
        <w:rPr>
          <w:noProof/>
          <w:szCs w:val="28"/>
        </w:rPr>
        <w:t xml:space="preserve"> 1,6%</w:t>
      </w:r>
      <w:r w:rsidRPr="00E727C8">
        <w:rPr>
          <w:noProof/>
          <w:szCs w:val="28"/>
        </w:rPr>
        <w:tab/>
      </w:r>
      <w:r w:rsidR="00947924">
        <w:rPr>
          <w:noProof/>
          <w:szCs w:val="28"/>
        </w:rPr>
        <w:t>(</w:t>
      </w:r>
      <w:r w:rsidRPr="00E727C8">
        <w:rPr>
          <w:noProof/>
          <w:szCs w:val="28"/>
        </w:rPr>
        <w:t>16</w:t>
      </w:r>
      <w:r w:rsidR="00947924">
        <w:rPr>
          <w:noProof/>
          <w:szCs w:val="28"/>
        </w:rPr>
        <w:t>);</w:t>
      </w:r>
    </w:p>
    <w:p w:rsidR="00E727C8" w:rsidRPr="00E727C8" w:rsidRDefault="00E727C8" w:rsidP="00E727C8">
      <w:pPr>
        <w:widowControl w:val="0"/>
        <w:rPr>
          <w:noProof/>
          <w:szCs w:val="28"/>
        </w:rPr>
      </w:pPr>
      <w:r>
        <w:rPr>
          <w:noProof/>
          <w:szCs w:val="28"/>
        </w:rPr>
        <w:t>Інші питання будівництва</w:t>
      </w:r>
      <w:r w:rsidR="00660AE1">
        <w:rPr>
          <w:noProof/>
          <w:szCs w:val="28"/>
        </w:rPr>
        <w:t xml:space="preserve"> 68,3%</w:t>
      </w:r>
      <w:r>
        <w:rPr>
          <w:noProof/>
          <w:szCs w:val="28"/>
        </w:rPr>
        <w:t xml:space="preserve"> </w:t>
      </w:r>
      <w:r w:rsidR="00660AE1">
        <w:rPr>
          <w:noProof/>
          <w:szCs w:val="28"/>
        </w:rPr>
        <w:t>(</w:t>
      </w:r>
      <w:r w:rsidRPr="00E727C8">
        <w:rPr>
          <w:noProof/>
          <w:szCs w:val="28"/>
        </w:rPr>
        <w:t>697</w:t>
      </w:r>
      <w:r w:rsidR="00660AE1">
        <w:rPr>
          <w:noProof/>
          <w:szCs w:val="28"/>
        </w:rPr>
        <w:t>);</w:t>
      </w:r>
    </w:p>
    <w:p w:rsidR="00E727C8" w:rsidRPr="00E727C8" w:rsidRDefault="00E727C8" w:rsidP="00E727C8">
      <w:pPr>
        <w:widowControl w:val="0"/>
        <w:rPr>
          <w:noProof/>
          <w:szCs w:val="28"/>
        </w:rPr>
      </w:pPr>
      <w:r w:rsidRPr="00E727C8">
        <w:rPr>
          <w:noProof/>
          <w:szCs w:val="28"/>
        </w:rPr>
        <w:t>Встановлення (знесення) малих архітектурних форм</w:t>
      </w:r>
      <w:r w:rsidR="00660AE1">
        <w:rPr>
          <w:noProof/>
          <w:szCs w:val="28"/>
        </w:rPr>
        <w:t xml:space="preserve"> 0,8% (</w:t>
      </w:r>
      <w:r w:rsidRPr="00E727C8">
        <w:rPr>
          <w:noProof/>
          <w:szCs w:val="28"/>
        </w:rPr>
        <w:t>8</w:t>
      </w:r>
      <w:r w:rsidR="00660AE1">
        <w:rPr>
          <w:noProof/>
          <w:szCs w:val="28"/>
        </w:rPr>
        <w:t>).</w:t>
      </w:r>
    </w:p>
    <w:p w:rsidR="00F37FAC" w:rsidRPr="00B94592" w:rsidRDefault="006F1CA1" w:rsidP="00F37FAC">
      <w:pPr>
        <w:shd w:val="clear" w:color="auto" w:fill="FFFFFF"/>
        <w:spacing w:after="100" w:afterAutospacing="1"/>
        <w:ind w:firstLine="709"/>
        <w:contextualSpacing/>
        <w:rPr>
          <w:color w:val="212529"/>
          <w:szCs w:val="28"/>
          <w:lang w:eastAsia="uk-UA"/>
        </w:rPr>
      </w:pPr>
      <w:r>
        <w:rPr>
          <w:color w:val="212529"/>
          <w:szCs w:val="28"/>
          <w:lang w:eastAsia="uk-UA"/>
        </w:rPr>
        <w:t>Д</w:t>
      </w:r>
      <w:r w:rsidR="00F37FAC" w:rsidRPr="00B94592">
        <w:rPr>
          <w:color w:val="212529"/>
          <w:szCs w:val="28"/>
          <w:lang w:eastAsia="uk-UA"/>
        </w:rPr>
        <w:t xml:space="preserve">ля забезпечення інформованості громадян з </w:t>
      </w:r>
      <w:r w:rsidR="0067251F" w:rsidRPr="00B94592">
        <w:rPr>
          <w:color w:val="212529"/>
          <w:szCs w:val="28"/>
          <w:lang w:eastAsia="uk-UA"/>
        </w:rPr>
        <w:t>питань будівництва</w:t>
      </w:r>
      <w:r w:rsidR="00F37FAC" w:rsidRPr="00B94592">
        <w:rPr>
          <w:color w:val="212529"/>
          <w:szCs w:val="28"/>
          <w:lang w:eastAsia="uk-UA"/>
        </w:rPr>
        <w:t xml:space="preserve"> на </w:t>
      </w:r>
      <w:r w:rsidR="00660AE1" w:rsidRPr="006F1CA1">
        <w:t>сторінці управління офіційного веб-сайту Дніпровської міської ради</w:t>
      </w:r>
      <w:r w:rsidR="00660AE1" w:rsidRPr="00B94592">
        <w:rPr>
          <w:color w:val="212529"/>
          <w:szCs w:val="28"/>
          <w:lang w:eastAsia="uk-UA"/>
        </w:rPr>
        <w:t xml:space="preserve"> </w:t>
      </w:r>
      <w:r w:rsidR="00F37FAC" w:rsidRPr="00B94592">
        <w:rPr>
          <w:color w:val="212529"/>
          <w:szCs w:val="28"/>
          <w:lang w:eastAsia="uk-UA"/>
        </w:rPr>
        <w:t>управління діють рубрики, в яких розм</w:t>
      </w:r>
      <w:r w:rsidR="0067251F" w:rsidRPr="00B94592">
        <w:rPr>
          <w:color w:val="212529"/>
          <w:szCs w:val="28"/>
          <w:lang w:eastAsia="uk-UA"/>
        </w:rPr>
        <w:t xml:space="preserve">іщено: </w:t>
      </w:r>
      <w:r w:rsidR="00B94592" w:rsidRPr="00B94592">
        <w:rPr>
          <w:color w:val="212529"/>
          <w:szCs w:val="28"/>
          <w:lang w:eastAsia="uk-UA"/>
        </w:rPr>
        <w:t xml:space="preserve">оголошення про розгляд звернень громадян, </w:t>
      </w:r>
      <w:r w:rsidR="0067251F" w:rsidRPr="00B94592">
        <w:rPr>
          <w:color w:val="212529"/>
          <w:szCs w:val="28"/>
          <w:lang w:eastAsia="uk-UA"/>
        </w:rPr>
        <w:t>нормативно-правові акти</w:t>
      </w:r>
      <w:r w:rsidR="00F37FAC" w:rsidRPr="00B94592">
        <w:rPr>
          <w:color w:val="212529"/>
          <w:szCs w:val="28"/>
          <w:lang w:eastAsia="uk-UA"/>
        </w:rPr>
        <w:t xml:space="preserve">, зразки та бланки звернень, методичні посібники, графіки роботи, відповіді на </w:t>
      </w:r>
      <w:r w:rsidR="00B94592" w:rsidRPr="00B94592">
        <w:rPr>
          <w:color w:val="212529"/>
          <w:szCs w:val="28"/>
          <w:lang w:eastAsia="uk-UA"/>
        </w:rPr>
        <w:t>найбільш поширені питання, тощо</w:t>
      </w:r>
      <w:r w:rsidR="00C454C3">
        <w:rPr>
          <w:color w:val="212529"/>
          <w:szCs w:val="28"/>
          <w:lang w:eastAsia="uk-UA"/>
        </w:rPr>
        <w:t>.</w:t>
      </w:r>
    </w:p>
    <w:p w:rsidR="00F37FAC" w:rsidRPr="00B94592" w:rsidRDefault="00F37FAC" w:rsidP="00F37FAC">
      <w:pPr>
        <w:shd w:val="clear" w:color="auto" w:fill="FFFFFF"/>
        <w:spacing w:after="100" w:afterAutospacing="1"/>
        <w:ind w:firstLine="709"/>
        <w:contextualSpacing/>
        <w:rPr>
          <w:color w:val="212529"/>
          <w:szCs w:val="28"/>
          <w:lang w:eastAsia="uk-UA"/>
        </w:rPr>
      </w:pPr>
      <w:r w:rsidRPr="00B94592">
        <w:rPr>
          <w:color w:val="212529"/>
          <w:szCs w:val="28"/>
          <w:lang w:eastAsia="uk-UA"/>
        </w:rPr>
        <w:t xml:space="preserve">Управлінням  забезпечено  вимоги щодо проведення  </w:t>
      </w:r>
      <w:r w:rsidR="00B94592" w:rsidRPr="00B94592">
        <w:rPr>
          <w:color w:val="212529"/>
          <w:szCs w:val="28"/>
          <w:lang w:eastAsia="uk-UA"/>
        </w:rPr>
        <w:t>щотижневого моніторингу стану розгляду звернень громадян та розгляд стану роботи зі зверненнями громадян на апаратних нарадах</w:t>
      </w:r>
      <w:r w:rsidRPr="00B94592">
        <w:rPr>
          <w:color w:val="212529"/>
          <w:szCs w:val="28"/>
          <w:lang w:eastAsia="uk-UA"/>
        </w:rPr>
        <w:t>.</w:t>
      </w:r>
      <w:r w:rsidR="00B94592" w:rsidRPr="00B94592">
        <w:rPr>
          <w:color w:val="212529"/>
          <w:szCs w:val="28"/>
          <w:lang w:eastAsia="uk-UA"/>
        </w:rPr>
        <w:t xml:space="preserve"> </w:t>
      </w:r>
    </w:p>
    <w:p w:rsidR="00A82779" w:rsidRPr="00B94592" w:rsidRDefault="00A82779" w:rsidP="00F37FAC">
      <w:pPr>
        <w:shd w:val="clear" w:color="auto" w:fill="FFFFFF"/>
        <w:spacing w:after="100" w:afterAutospacing="1"/>
        <w:ind w:firstLine="709"/>
        <w:contextualSpacing/>
        <w:rPr>
          <w:color w:val="212529"/>
          <w:szCs w:val="28"/>
          <w:lang w:eastAsia="uk-UA"/>
        </w:rPr>
      </w:pPr>
    </w:p>
    <w:p w:rsidR="008D6FBC" w:rsidRPr="0087190A" w:rsidRDefault="008D6FBC" w:rsidP="00D9407D">
      <w:pPr>
        <w:shd w:val="clear" w:color="auto" w:fill="FFFFFF"/>
        <w:spacing w:after="100" w:afterAutospacing="1"/>
        <w:contextualSpacing/>
        <w:rPr>
          <w:color w:val="212529"/>
          <w:szCs w:val="28"/>
          <w:lang w:val="ru-RU" w:eastAsia="uk-UA"/>
        </w:rPr>
      </w:pPr>
    </w:p>
    <w:sectPr w:rsidR="008D6FBC" w:rsidRPr="0087190A" w:rsidSect="000A5076">
      <w:footerReference w:type="even" r:id="rId8"/>
      <w:pgSz w:w="11906" w:h="16838"/>
      <w:pgMar w:top="0" w:right="567" w:bottom="1276" w:left="1559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14" w:rsidRDefault="00297F14">
      <w:r>
        <w:separator/>
      </w:r>
    </w:p>
  </w:endnote>
  <w:endnote w:type="continuationSeparator" w:id="0">
    <w:p w:rsidR="00297F14" w:rsidRDefault="0029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40" w:rsidRDefault="00A845C4" w:rsidP="005670A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145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4540">
      <w:rPr>
        <w:rStyle w:val="ab"/>
        <w:noProof/>
      </w:rPr>
      <w:t>1</w:t>
    </w:r>
    <w:r>
      <w:rPr>
        <w:rStyle w:val="ab"/>
      </w:rPr>
      <w:fldChar w:fldCharType="end"/>
    </w:r>
  </w:p>
  <w:p w:rsidR="00014540" w:rsidRDefault="00014540" w:rsidP="005670A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14" w:rsidRDefault="00297F14">
      <w:r>
        <w:separator/>
      </w:r>
    </w:p>
  </w:footnote>
  <w:footnote w:type="continuationSeparator" w:id="0">
    <w:p w:rsidR="00297F14" w:rsidRDefault="0029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334485"/>
    <w:multiLevelType w:val="hybridMultilevel"/>
    <w:tmpl w:val="C4487402"/>
    <w:lvl w:ilvl="0" w:tplc="E4A89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9A562D"/>
    <w:multiLevelType w:val="hybridMultilevel"/>
    <w:tmpl w:val="77AA1AE2"/>
    <w:lvl w:ilvl="0" w:tplc="00A660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1"/>
    <w:rsid w:val="00000226"/>
    <w:rsid w:val="0000039B"/>
    <w:rsid w:val="00001982"/>
    <w:rsid w:val="00003850"/>
    <w:rsid w:val="0000772A"/>
    <w:rsid w:val="00010FCD"/>
    <w:rsid w:val="00013F75"/>
    <w:rsid w:val="00014540"/>
    <w:rsid w:val="00014D34"/>
    <w:rsid w:val="00014F64"/>
    <w:rsid w:val="00017245"/>
    <w:rsid w:val="00020CF0"/>
    <w:rsid w:val="0002164E"/>
    <w:rsid w:val="00024E8F"/>
    <w:rsid w:val="000260FE"/>
    <w:rsid w:val="00031679"/>
    <w:rsid w:val="000327CB"/>
    <w:rsid w:val="00036331"/>
    <w:rsid w:val="00043E3A"/>
    <w:rsid w:val="00044076"/>
    <w:rsid w:val="00047BDD"/>
    <w:rsid w:val="00052FEF"/>
    <w:rsid w:val="00053639"/>
    <w:rsid w:val="00054CE0"/>
    <w:rsid w:val="0006498B"/>
    <w:rsid w:val="00075F62"/>
    <w:rsid w:val="00077049"/>
    <w:rsid w:val="0008076C"/>
    <w:rsid w:val="00080B65"/>
    <w:rsid w:val="000818F8"/>
    <w:rsid w:val="0009212A"/>
    <w:rsid w:val="00093D4C"/>
    <w:rsid w:val="00096CB0"/>
    <w:rsid w:val="000979E5"/>
    <w:rsid w:val="000A09A6"/>
    <w:rsid w:val="000A120D"/>
    <w:rsid w:val="000A1A27"/>
    <w:rsid w:val="000A5076"/>
    <w:rsid w:val="000A5801"/>
    <w:rsid w:val="000A62A9"/>
    <w:rsid w:val="000B7F17"/>
    <w:rsid w:val="000C0502"/>
    <w:rsid w:val="000C3770"/>
    <w:rsid w:val="000C560A"/>
    <w:rsid w:val="000C6094"/>
    <w:rsid w:val="000D2CC9"/>
    <w:rsid w:val="000D49E1"/>
    <w:rsid w:val="000E38BB"/>
    <w:rsid w:val="000F147B"/>
    <w:rsid w:val="000F2946"/>
    <w:rsid w:val="000F5345"/>
    <w:rsid w:val="000F5C52"/>
    <w:rsid w:val="000F5FC7"/>
    <w:rsid w:val="000F6DF7"/>
    <w:rsid w:val="000F795B"/>
    <w:rsid w:val="00101CF4"/>
    <w:rsid w:val="00104546"/>
    <w:rsid w:val="001061E1"/>
    <w:rsid w:val="00113490"/>
    <w:rsid w:val="00115732"/>
    <w:rsid w:val="00116E91"/>
    <w:rsid w:val="00123F4C"/>
    <w:rsid w:val="00125EB0"/>
    <w:rsid w:val="00131ADE"/>
    <w:rsid w:val="001324A9"/>
    <w:rsid w:val="001420DC"/>
    <w:rsid w:val="00142AF6"/>
    <w:rsid w:val="00152AE7"/>
    <w:rsid w:val="0015515D"/>
    <w:rsid w:val="00156225"/>
    <w:rsid w:val="00163770"/>
    <w:rsid w:val="00164803"/>
    <w:rsid w:val="00166951"/>
    <w:rsid w:val="00166C2F"/>
    <w:rsid w:val="001709B4"/>
    <w:rsid w:val="00171530"/>
    <w:rsid w:val="001743AC"/>
    <w:rsid w:val="00174760"/>
    <w:rsid w:val="00175081"/>
    <w:rsid w:val="00177AC1"/>
    <w:rsid w:val="00177C9A"/>
    <w:rsid w:val="001826C8"/>
    <w:rsid w:val="0018288C"/>
    <w:rsid w:val="00183C60"/>
    <w:rsid w:val="0018465B"/>
    <w:rsid w:val="00185A48"/>
    <w:rsid w:val="001870BD"/>
    <w:rsid w:val="00187DCD"/>
    <w:rsid w:val="001957B6"/>
    <w:rsid w:val="001A2D8D"/>
    <w:rsid w:val="001A3D14"/>
    <w:rsid w:val="001A4432"/>
    <w:rsid w:val="001A48BC"/>
    <w:rsid w:val="001B1E5D"/>
    <w:rsid w:val="001B4ADA"/>
    <w:rsid w:val="001C2798"/>
    <w:rsid w:val="001C3D24"/>
    <w:rsid w:val="001D0D5D"/>
    <w:rsid w:val="001D0E74"/>
    <w:rsid w:val="001D3A09"/>
    <w:rsid w:val="001D4535"/>
    <w:rsid w:val="001D4E75"/>
    <w:rsid w:val="001D5F23"/>
    <w:rsid w:val="001D6901"/>
    <w:rsid w:val="001E3281"/>
    <w:rsid w:val="001E67A2"/>
    <w:rsid w:val="001F3440"/>
    <w:rsid w:val="001F4A2F"/>
    <w:rsid w:val="001F71E2"/>
    <w:rsid w:val="00200E38"/>
    <w:rsid w:val="0020669E"/>
    <w:rsid w:val="00207247"/>
    <w:rsid w:val="00211694"/>
    <w:rsid w:val="0021787D"/>
    <w:rsid w:val="002212C3"/>
    <w:rsid w:val="00226420"/>
    <w:rsid w:val="00226C75"/>
    <w:rsid w:val="00227EA9"/>
    <w:rsid w:val="00237E66"/>
    <w:rsid w:val="00241D18"/>
    <w:rsid w:val="00245FF8"/>
    <w:rsid w:val="0025332C"/>
    <w:rsid w:val="00255529"/>
    <w:rsid w:val="0025561D"/>
    <w:rsid w:val="00257241"/>
    <w:rsid w:val="00260061"/>
    <w:rsid w:val="002645C6"/>
    <w:rsid w:val="002730CC"/>
    <w:rsid w:val="00280E44"/>
    <w:rsid w:val="002811C3"/>
    <w:rsid w:val="00281A7D"/>
    <w:rsid w:val="00283DB4"/>
    <w:rsid w:val="00287E75"/>
    <w:rsid w:val="002902DC"/>
    <w:rsid w:val="00294E53"/>
    <w:rsid w:val="00296001"/>
    <w:rsid w:val="00297F14"/>
    <w:rsid w:val="002B1F19"/>
    <w:rsid w:val="002B56F5"/>
    <w:rsid w:val="002B5997"/>
    <w:rsid w:val="002C4CBB"/>
    <w:rsid w:val="002C4D65"/>
    <w:rsid w:val="002C6632"/>
    <w:rsid w:val="002E0172"/>
    <w:rsid w:val="002E1DFD"/>
    <w:rsid w:val="002E1FD7"/>
    <w:rsid w:val="002E29CD"/>
    <w:rsid w:val="002E44C1"/>
    <w:rsid w:val="002E725B"/>
    <w:rsid w:val="002F42E4"/>
    <w:rsid w:val="002F5345"/>
    <w:rsid w:val="002F53F3"/>
    <w:rsid w:val="002F6BBD"/>
    <w:rsid w:val="00304010"/>
    <w:rsid w:val="003045F5"/>
    <w:rsid w:val="00321D86"/>
    <w:rsid w:val="00321E5B"/>
    <w:rsid w:val="00327B82"/>
    <w:rsid w:val="00332542"/>
    <w:rsid w:val="00335E08"/>
    <w:rsid w:val="0033768D"/>
    <w:rsid w:val="003420AD"/>
    <w:rsid w:val="00342D66"/>
    <w:rsid w:val="00344742"/>
    <w:rsid w:val="00350344"/>
    <w:rsid w:val="003547BB"/>
    <w:rsid w:val="00360767"/>
    <w:rsid w:val="00371887"/>
    <w:rsid w:val="003723C7"/>
    <w:rsid w:val="0037355B"/>
    <w:rsid w:val="00375A5B"/>
    <w:rsid w:val="00377433"/>
    <w:rsid w:val="0038448B"/>
    <w:rsid w:val="0038471E"/>
    <w:rsid w:val="00385F91"/>
    <w:rsid w:val="003868F7"/>
    <w:rsid w:val="00386E03"/>
    <w:rsid w:val="00391B6C"/>
    <w:rsid w:val="00397637"/>
    <w:rsid w:val="003A0B68"/>
    <w:rsid w:val="003A2430"/>
    <w:rsid w:val="003A2EEB"/>
    <w:rsid w:val="003A44E8"/>
    <w:rsid w:val="003A5C03"/>
    <w:rsid w:val="003B0107"/>
    <w:rsid w:val="003B28C9"/>
    <w:rsid w:val="003B52FD"/>
    <w:rsid w:val="003B5F95"/>
    <w:rsid w:val="003B6EFD"/>
    <w:rsid w:val="003C0DE4"/>
    <w:rsid w:val="003C2921"/>
    <w:rsid w:val="003C6740"/>
    <w:rsid w:val="003D3BA4"/>
    <w:rsid w:val="003D4206"/>
    <w:rsid w:val="003D512C"/>
    <w:rsid w:val="003D5E5F"/>
    <w:rsid w:val="003D6D6C"/>
    <w:rsid w:val="003E300C"/>
    <w:rsid w:val="003E5120"/>
    <w:rsid w:val="003E5AE3"/>
    <w:rsid w:val="003F1AB8"/>
    <w:rsid w:val="00401C08"/>
    <w:rsid w:val="00405821"/>
    <w:rsid w:val="004058ED"/>
    <w:rsid w:val="00406224"/>
    <w:rsid w:val="00406556"/>
    <w:rsid w:val="0041064A"/>
    <w:rsid w:val="00410A41"/>
    <w:rsid w:val="00411175"/>
    <w:rsid w:val="00413209"/>
    <w:rsid w:val="00417BBD"/>
    <w:rsid w:val="00420CE5"/>
    <w:rsid w:val="00422ABE"/>
    <w:rsid w:val="00422DE1"/>
    <w:rsid w:val="00425133"/>
    <w:rsid w:val="004322D0"/>
    <w:rsid w:val="00440986"/>
    <w:rsid w:val="00443E66"/>
    <w:rsid w:val="0044452B"/>
    <w:rsid w:val="00445263"/>
    <w:rsid w:val="0044635B"/>
    <w:rsid w:val="0046204F"/>
    <w:rsid w:val="004645BC"/>
    <w:rsid w:val="0047083D"/>
    <w:rsid w:val="00470A50"/>
    <w:rsid w:val="004742F9"/>
    <w:rsid w:val="00480F57"/>
    <w:rsid w:val="00482ECE"/>
    <w:rsid w:val="00483218"/>
    <w:rsid w:val="004863CF"/>
    <w:rsid w:val="004863EC"/>
    <w:rsid w:val="004909AF"/>
    <w:rsid w:val="00490A51"/>
    <w:rsid w:val="004956C2"/>
    <w:rsid w:val="004A72EC"/>
    <w:rsid w:val="004B0E94"/>
    <w:rsid w:val="004B57AD"/>
    <w:rsid w:val="004C4064"/>
    <w:rsid w:val="004C7A96"/>
    <w:rsid w:val="004D0C09"/>
    <w:rsid w:val="004D272D"/>
    <w:rsid w:val="004D5929"/>
    <w:rsid w:val="004D6273"/>
    <w:rsid w:val="004D628F"/>
    <w:rsid w:val="004D70F9"/>
    <w:rsid w:val="004D79EA"/>
    <w:rsid w:val="004E2969"/>
    <w:rsid w:val="004E35FB"/>
    <w:rsid w:val="004E3B37"/>
    <w:rsid w:val="004E3CA2"/>
    <w:rsid w:val="004E56A1"/>
    <w:rsid w:val="004E59F8"/>
    <w:rsid w:val="004E7185"/>
    <w:rsid w:val="004F6BEA"/>
    <w:rsid w:val="00500B01"/>
    <w:rsid w:val="00505FC7"/>
    <w:rsid w:val="0050661A"/>
    <w:rsid w:val="00506AAD"/>
    <w:rsid w:val="0051595B"/>
    <w:rsid w:val="005220D2"/>
    <w:rsid w:val="00527E14"/>
    <w:rsid w:val="00534BC6"/>
    <w:rsid w:val="0053515D"/>
    <w:rsid w:val="00536538"/>
    <w:rsid w:val="00537039"/>
    <w:rsid w:val="00553617"/>
    <w:rsid w:val="00556545"/>
    <w:rsid w:val="00556DB7"/>
    <w:rsid w:val="0056095A"/>
    <w:rsid w:val="00560BCE"/>
    <w:rsid w:val="00564D86"/>
    <w:rsid w:val="00566964"/>
    <w:rsid w:val="005670A2"/>
    <w:rsid w:val="0057087B"/>
    <w:rsid w:val="005734C8"/>
    <w:rsid w:val="005764EF"/>
    <w:rsid w:val="005807BC"/>
    <w:rsid w:val="00581F13"/>
    <w:rsid w:val="00582605"/>
    <w:rsid w:val="00582D4C"/>
    <w:rsid w:val="00585395"/>
    <w:rsid w:val="00594F9E"/>
    <w:rsid w:val="00595DB5"/>
    <w:rsid w:val="005A657E"/>
    <w:rsid w:val="005A6626"/>
    <w:rsid w:val="005A702D"/>
    <w:rsid w:val="005B2112"/>
    <w:rsid w:val="005B23B3"/>
    <w:rsid w:val="005B7081"/>
    <w:rsid w:val="005C3289"/>
    <w:rsid w:val="005C6785"/>
    <w:rsid w:val="005C7781"/>
    <w:rsid w:val="005E0957"/>
    <w:rsid w:val="005E0FD0"/>
    <w:rsid w:val="005E36E9"/>
    <w:rsid w:val="005E6C1A"/>
    <w:rsid w:val="006014E3"/>
    <w:rsid w:val="00602A5D"/>
    <w:rsid w:val="0060402D"/>
    <w:rsid w:val="00604FCD"/>
    <w:rsid w:val="00607260"/>
    <w:rsid w:val="00614563"/>
    <w:rsid w:val="00617B7C"/>
    <w:rsid w:val="00617FA8"/>
    <w:rsid w:val="006225FF"/>
    <w:rsid w:val="00623579"/>
    <w:rsid w:val="00627BE6"/>
    <w:rsid w:val="00632B52"/>
    <w:rsid w:val="00637299"/>
    <w:rsid w:val="00641B12"/>
    <w:rsid w:val="006428BB"/>
    <w:rsid w:val="00645521"/>
    <w:rsid w:val="006549D4"/>
    <w:rsid w:val="006601DE"/>
    <w:rsid w:val="00660AE1"/>
    <w:rsid w:val="006611FC"/>
    <w:rsid w:val="00661DBC"/>
    <w:rsid w:val="006645C8"/>
    <w:rsid w:val="0066559A"/>
    <w:rsid w:val="00665CAE"/>
    <w:rsid w:val="00670872"/>
    <w:rsid w:val="0067251F"/>
    <w:rsid w:val="00672F44"/>
    <w:rsid w:val="00676BEC"/>
    <w:rsid w:val="00676E1E"/>
    <w:rsid w:val="00683E85"/>
    <w:rsid w:val="006849E5"/>
    <w:rsid w:val="00686544"/>
    <w:rsid w:val="00687C28"/>
    <w:rsid w:val="00691487"/>
    <w:rsid w:val="00691829"/>
    <w:rsid w:val="00693306"/>
    <w:rsid w:val="00696F62"/>
    <w:rsid w:val="006A2DD7"/>
    <w:rsid w:val="006A5FC8"/>
    <w:rsid w:val="006A6389"/>
    <w:rsid w:val="006A7656"/>
    <w:rsid w:val="006A7C32"/>
    <w:rsid w:val="006B0067"/>
    <w:rsid w:val="006B2113"/>
    <w:rsid w:val="006C23A1"/>
    <w:rsid w:val="006C3E03"/>
    <w:rsid w:val="006C5119"/>
    <w:rsid w:val="006C53CA"/>
    <w:rsid w:val="006D1336"/>
    <w:rsid w:val="006D39CA"/>
    <w:rsid w:val="006D48CA"/>
    <w:rsid w:val="006D60D8"/>
    <w:rsid w:val="006E15E9"/>
    <w:rsid w:val="006E56AC"/>
    <w:rsid w:val="006F08DB"/>
    <w:rsid w:val="006F1CA1"/>
    <w:rsid w:val="006F36CA"/>
    <w:rsid w:val="006F3920"/>
    <w:rsid w:val="006F6384"/>
    <w:rsid w:val="00702EC5"/>
    <w:rsid w:val="007065E0"/>
    <w:rsid w:val="00711089"/>
    <w:rsid w:val="00715428"/>
    <w:rsid w:val="00715914"/>
    <w:rsid w:val="00723FC5"/>
    <w:rsid w:val="007263F6"/>
    <w:rsid w:val="00726853"/>
    <w:rsid w:val="00727229"/>
    <w:rsid w:val="00730E5B"/>
    <w:rsid w:val="00731D9D"/>
    <w:rsid w:val="0073344F"/>
    <w:rsid w:val="00736147"/>
    <w:rsid w:val="00740178"/>
    <w:rsid w:val="00755544"/>
    <w:rsid w:val="00755CA0"/>
    <w:rsid w:val="007609B0"/>
    <w:rsid w:val="00763FA5"/>
    <w:rsid w:val="00766943"/>
    <w:rsid w:val="007670FB"/>
    <w:rsid w:val="00770AA3"/>
    <w:rsid w:val="00772E8E"/>
    <w:rsid w:val="0077430E"/>
    <w:rsid w:val="00777D97"/>
    <w:rsid w:val="0078000D"/>
    <w:rsid w:val="007845FF"/>
    <w:rsid w:val="007857E8"/>
    <w:rsid w:val="00786486"/>
    <w:rsid w:val="0078721B"/>
    <w:rsid w:val="0079014D"/>
    <w:rsid w:val="00790E31"/>
    <w:rsid w:val="007924F9"/>
    <w:rsid w:val="00792917"/>
    <w:rsid w:val="00793075"/>
    <w:rsid w:val="00793896"/>
    <w:rsid w:val="00794D54"/>
    <w:rsid w:val="007966A8"/>
    <w:rsid w:val="007972A9"/>
    <w:rsid w:val="007A09CC"/>
    <w:rsid w:val="007A2750"/>
    <w:rsid w:val="007A6AD2"/>
    <w:rsid w:val="007B1FFD"/>
    <w:rsid w:val="007B53F0"/>
    <w:rsid w:val="007B656B"/>
    <w:rsid w:val="007C195F"/>
    <w:rsid w:val="007C37C1"/>
    <w:rsid w:val="007C65AE"/>
    <w:rsid w:val="007D56F2"/>
    <w:rsid w:val="007D5A76"/>
    <w:rsid w:val="007E0294"/>
    <w:rsid w:val="007E1772"/>
    <w:rsid w:val="007E2A7D"/>
    <w:rsid w:val="007E2DD7"/>
    <w:rsid w:val="007E36B4"/>
    <w:rsid w:val="007E56B4"/>
    <w:rsid w:val="007E588C"/>
    <w:rsid w:val="007E72A6"/>
    <w:rsid w:val="007E79AA"/>
    <w:rsid w:val="007F67AE"/>
    <w:rsid w:val="007F7DA2"/>
    <w:rsid w:val="008042E0"/>
    <w:rsid w:val="00806A68"/>
    <w:rsid w:val="00807052"/>
    <w:rsid w:val="00810943"/>
    <w:rsid w:val="00811726"/>
    <w:rsid w:val="00812474"/>
    <w:rsid w:val="008136FE"/>
    <w:rsid w:val="00817843"/>
    <w:rsid w:val="0082107A"/>
    <w:rsid w:val="0082126C"/>
    <w:rsid w:val="008212B7"/>
    <w:rsid w:val="00821A5F"/>
    <w:rsid w:val="00821B6B"/>
    <w:rsid w:val="00824456"/>
    <w:rsid w:val="00825923"/>
    <w:rsid w:val="00830DF7"/>
    <w:rsid w:val="008331E2"/>
    <w:rsid w:val="00833D3E"/>
    <w:rsid w:val="008345FB"/>
    <w:rsid w:val="00836A14"/>
    <w:rsid w:val="00841DE9"/>
    <w:rsid w:val="008424B3"/>
    <w:rsid w:val="0084586D"/>
    <w:rsid w:val="00846D3E"/>
    <w:rsid w:val="00852FC3"/>
    <w:rsid w:val="0085582E"/>
    <w:rsid w:val="00860F73"/>
    <w:rsid w:val="00863AB9"/>
    <w:rsid w:val="00864B1A"/>
    <w:rsid w:val="008708A4"/>
    <w:rsid w:val="0087178D"/>
    <w:rsid w:val="0087190A"/>
    <w:rsid w:val="0087719F"/>
    <w:rsid w:val="008865BC"/>
    <w:rsid w:val="00886AA0"/>
    <w:rsid w:val="00887010"/>
    <w:rsid w:val="00887DD3"/>
    <w:rsid w:val="00887E20"/>
    <w:rsid w:val="00892A69"/>
    <w:rsid w:val="008930F1"/>
    <w:rsid w:val="0089380E"/>
    <w:rsid w:val="0089468C"/>
    <w:rsid w:val="00895B44"/>
    <w:rsid w:val="008A01B6"/>
    <w:rsid w:val="008A2796"/>
    <w:rsid w:val="008A3506"/>
    <w:rsid w:val="008A6075"/>
    <w:rsid w:val="008A6742"/>
    <w:rsid w:val="008B1E5A"/>
    <w:rsid w:val="008B4712"/>
    <w:rsid w:val="008B4930"/>
    <w:rsid w:val="008C0F34"/>
    <w:rsid w:val="008C2F9B"/>
    <w:rsid w:val="008C5A94"/>
    <w:rsid w:val="008D1FC6"/>
    <w:rsid w:val="008D2817"/>
    <w:rsid w:val="008D281B"/>
    <w:rsid w:val="008D63F2"/>
    <w:rsid w:val="008D6FBC"/>
    <w:rsid w:val="008D7A1A"/>
    <w:rsid w:val="008E0732"/>
    <w:rsid w:val="008E2F4F"/>
    <w:rsid w:val="008E3B3C"/>
    <w:rsid w:val="008F0B0B"/>
    <w:rsid w:val="008F3329"/>
    <w:rsid w:val="008F3429"/>
    <w:rsid w:val="008F501D"/>
    <w:rsid w:val="008F7C9C"/>
    <w:rsid w:val="00900BC0"/>
    <w:rsid w:val="009029D3"/>
    <w:rsid w:val="00902E97"/>
    <w:rsid w:val="00906106"/>
    <w:rsid w:val="009070B8"/>
    <w:rsid w:val="009101A8"/>
    <w:rsid w:val="00910DF8"/>
    <w:rsid w:val="00915D58"/>
    <w:rsid w:val="00921732"/>
    <w:rsid w:val="0092539F"/>
    <w:rsid w:val="00927202"/>
    <w:rsid w:val="0093035B"/>
    <w:rsid w:val="009308A2"/>
    <w:rsid w:val="00934905"/>
    <w:rsid w:val="00947924"/>
    <w:rsid w:val="00951CE8"/>
    <w:rsid w:val="00951E9E"/>
    <w:rsid w:val="009523B7"/>
    <w:rsid w:val="00952F95"/>
    <w:rsid w:val="0095579B"/>
    <w:rsid w:val="00956DB2"/>
    <w:rsid w:val="00960BD1"/>
    <w:rsid w:val="00963AB1"/>
    <w:rsid w:val="00963D51"/>
    <w:rsid w:val="009650CD"/>
    <w:rsid w:val="00967A47"/>
    <w:rsid w:val="00983E74"/>
    <w:rsid w:val="00986DF3"/>
    <w:rsid w:val="00987A37"/>
    <w:rsid w:val="0099372C"/>
    <w:rsid w:val="009A01D5"/>
    <w:rsid w:val="009A0474"/>
    <w:rsid w:val="009A10EA"/>
    <w:rsid w:val="009A1899"/>
    <w:rsid w:val="009A58A9"/>
    <w:rsid w:val="009A6962"/>
    <w:rsid w:val="009B2B70"/>
    <w:rsid w:val="009B7BC9"/>
    <w:rsid w:val="009C01DC"/>
    <w:rsid w:val="009C05BA"/>
    <w:rsid w:val="009C7DC5"/>
    <w:rsid w:val="009D4FCD"/>
    <w:rsid w:val="009D5736"/>
    <w:rsid w:val="009D6EDC"/>
    <w:rsid w:val="009E0D86"/>
    <w:rsid w:val="009F0302"/>
    <w:rsid w:val="009F3BFE"/>
    <w:rsid w:val="009F49E8"/>
    <w:rsid w:val="009F4F98"/>
    <w:rsid w:val="00A01A9C"/>
    <w:rsid w:val="00A07AA1"/>
    <w:rsid w:val="00A07E42"/>
    <w:rsid w:val="00A153F9"/>
    <w:rsid w:val="00A17CE0"/>
    <w:rsid w:val="00A20A4C"/>
    <w:rsid w:val="00A227DF"/>
    <w:rsid w:val="00A2394C"/>
    <w:rsid w:val="00A364CA"/>
    <w:rsid w:val="00A36FBE"/>
    <w:rsid w:val="00A42697"/>
    <w:rsid w:val="00A441DD"/>
    <w:rsid w:val="00A45FEC"/>
    <w:rsid w:val="00A50A83"/>
    <w:rsid w:val="00A515BB"/>
    <w:rsid w:val="00A52398"/>
    <w:rsid w:val="00A57AFA"/>
    <w:rsid w:val="00A6122D"/>
    <w:rsid w:val="00A629A1"/>
    <w:rsid w:val="00A701B9"/>
    <w:rsid w:val="00A71238"/>
    <w:rsid w:val="00A74A7B"/>
    <w:rsid w:val="00A75E04"/>
    <w:rsid w:val="00A81591"/>
    <w:rsid w:val="00A82779"/>
    <w:rsid w:val="00A845C4"/>
    <w:rsid w:val="00A86E50"/>
    <w:rsid w:val="00A972C1"/>
    <w:rsid w:val="00A97425"/>
    <w:rsid w:val="00A9792F"/>
    <w:rsid w:val="00A97E65"/>
    <w:rsid w:val="00AA7151"/>
    <w:rsid w:val="00AB3B46"/>
    <w:rsid w:val="00AB638F"/>
    <w:rsid w:val="00AB69C3"/>
    <w:rsid w:val="00AC0F94"/>
    <w:rsid w:val="00AC103D"/>
    <w:rsid w:val="00AC486E"/>
    <w:rsid w:val="00AC7140"/>
    <w:rsid w:val="00AD0543"/>
    <w:rsid w:val="00AD0A81"/>
    <w:rsid w:val="00AD4951"/>
    <w:rsid w:val="00AE289A"/>
    <w:rsid w:val="00AE51E3"/>
    <w:rsid w:val="00AE5E68"/>
    <w:rsid w:val="00AF0235"/>
    <w:rsid w:val="00B04BBE"/>
    <w:rsid w:val="00B12817"/>
    <w:rsid w:val="00B16338"/>
    <w:rsid w:val="00B17C92"/>
    <w:rsid w:val="00B20D56"/>
    <w:rsid w:val="00B24A9D"/>
    <w:rsid w:val="00B25841"/>
    <w:rsid w:val="00B261BB"/>
    <w:rsid w:val="00B30773"/>
    <w:rsid w:val="00B44520"/>
    <w:rsid w:val="00B47DF1"/>
    <w:rsid w:val="00B506AA"/>
    <w:rsid w:val="00B50F88"/>
    <w:rsid w:val="00B53C38"/>
    <w:rsid w:val="00B54633"/>
    <w:rsid w:val="00B63002"/>
    <w:rsid w:val="00B653D9"/>
    <w:rsid w:val="00B656A5"/>
    <w:rsid w:val="00B656AC"/>
    <w:rsid w:val="00B670A9"/>
    <w:rsid w:val="00B670D3"/>
    <w:rsid w:val="00B70773"/>
    <w:rsid w:val="00B71764"/>
    <w:rsid w:val="00B7444E"/>
    <w:rsid w:val="00B75123"/>
    <w:rsid w:val="00B80A1F"/>
    <w:rsid w:val="00B81C45"/>
    <w:rsid w:val="00B84081"/>
    <w:rsid w:val="00B85E19"/>
    <w:rsid w:val="00B94592"/>
    <w:rsid w:val="00B96B44"/>
    <w:rsid w:val="00BA455E"/>
    <w:rsid w:val="00BA6F6E"/>
    <w:rsid w:val="00BB0773"/>
    <w:rsid w:val="00BB2B44"/>
    <w:rsid w:val="00BB54C4"/>
    <w:rsid w:val="00BB5616"/>
    <w:rsid w:val="00BC53BF"/>
    <w:rsid w:val="00BD1805"/>
    <w:rsid w:val="00BD4262"/>
    <w:rsid w:val="00BE0908"/>
    <w:rsid w:val="00BE3591"/>
    <w:rsid w:val="00BF4169"/>
    <w:rsid w:val="00C00241"/>
    <w:rsid w:val="00C1495A"/>
    <w:rsid w:val="00C14A69"/>
    <w:rsid w:val="00C21D49"/>
    <w:rsid w:val="00C26D4A"/>
    <w:rsid w:val="00C338CC"/>
    <w:rsid w:val="00C34BC1"/>
    <w:rsid w:val="00C44019"/>
    <w:rsid w:val="00C450B3"/>
    <w:rsid w:val="00C454C3"/>
    <w:rsid w:val="00C479AE"/>
    <w:rsid w:val="00C57BDB"/>
    <w:rsid w:val="00C62F33"/>
    <w:rsid w:val="00C655C8"/>
    <w:rsid w:val="00C65C2E"/>
    <w:rsid w:val="00C66F62"/>
    <w:rsid w:val="00C7058F"/>
    <w:rsid w:val="00C77AC1"/>
    <w:rsid w:val="00C8091B"/>
    <w:rsid w:val="00C81C8D"/>
    <w:rsid w:val="00C825E3"/>
    <w:rsid w:val="00C84141"/>
    <w:rsid w:val="00C8495D"/>
    <w:rsid w:val="00C84A1D"/>
    <w:rsid w:val="00CA2562"/>
    <w:rsid w:val="00CA496F"/>
    <w:rsid w:val="00CA7E16"/>
    <w:rsid w:val="00CB198B"/>
    <w:rsid w:val="00CB69D8"/>
    <w:rsid w:val="00CC6B67"/>
    <w:rsid w:val="00CD74DC"/>
    <w:rsid w:val="00CE0A24"/>
    <w:rsid w:val="00CE4CAA"/>
    <w:rsid w:val="00CE6BFA"/>
    <w:rsid w:val="00CF05A8"/>
    <w:rsid w:val="00CF6BDA"/>
    <w:rsid w:val="00CF73DE"/>
    <w:rsid w:val="00D039E7"/>
    <w:rsid w:val="00D048C7"/>
    <w:rsid w:val="00D11F87"/>
    <w:rsid w:val="00D13139"/>
    <w:rsid w:val="00D138C3"/>
    <w:rsid w:val="00D15705"/>
    <w:rsid w:val="00D16FD3"/>
    <w:rsid w:val="00D1765F"/>
    <w:rsid w:val="00D17AEA"/>
    <w:rsid w:val="00D200CB"/>
    <w:rsid w:val="00D216ED"/>
    <w:rsid w:val="00D2174F"/>
    <w:rsid w:val="00D21D10"/>
    <w:rsid w:val="00D2276A"/>
    <w:rsid w:val="00D22921"/>
    <w:rsid w:val="00D27998"/>
    <w:rsid w:val="00D304A6"/>
    <w:rsid w:val="00D3396E"/>
    <w:rsid w:val="00D33D1D"/>
    <w:rsid w:val="00D33F9E"/>
    <w:rsid w:val="00D36C76"/>
    <w:rsid w:val="00D4553D"/>
    <w:rsid w:val="00D467DC"/>
    <w:rsid w:val="00D507B2"/>
    <w:rsid w:val="00D50B01"/>
    <w:rsid w:val="00D51899"/>
    <w:rsid w:val="00D52148"/>
    <w:rsid w:val="00D523E6"/>
    <w:rsid w:val="00D61D3A"/>
    <w:rsid w:val="00D65227"/>
    <w:rsid w:val="00D6553F"/>
    <w:rsid w:val="00D66846"/>
    <w:rsid w:val="00D66BAF"/>
    <w:rsid w:val="00D70941"/>
    <w:rsid w:val="00D71B7F"/>
    <w:rsid w:val="00D73A60"/>
    <w:rsid w:val="00D779A2"/>
    <w:rsid w:val="00D8188E"/>
    <w:rsid w:val="00D829D8"/>
    <w:rsid w:val="00D83440"/>
    <w:rsid w:val="00D840D6"/>
    <w:rsid w:val="00D86A13"/>
    <w:rsid w:val="00D91B7D"/>
    <w:rsid w:val="00D93DFF"/>
    <w:rsid w:val="00D9407D"/>
    <w:rsid w:val="00D96CBA"/>
    <w:rsid w:val="00DA1B8E"/>
    <w:rsid w:val="00DA3385"/>
    <w:rsid w:val="00DB0A41"/>
    <w:rsid w:val="00DB7BB9"/>
    <w:rsid w:val="00DC12EA"/>
    <w:rsid w:val="00DC5D31"/>
    <w:rsid w:val="00DD1130"/>
    <w:rsid w:val="00DD3A5E"/>
    <w:rsid w:val="00DD43CD"/>
    <w:rsid w:val="00DE38B5"/>
    <w:rsid w:val="00DE5A04"/>
    <w:rsid w:val="00DF4CBF"/>
    <w:rsid w:val="00DF63A9"/>
    <w:rsid w:val="00DF715B"/>
    <w:rsid w:val="00E017C7"/>
    <w:rsid w:val="00E01F66"/>
    <w:rsid w:val="00E0248B"/>
    <w:rsid w:val="00E11843"/>
    <w:rsid w:val="00E11CFA"/>
    <w:rsid w:val="00E12C33"/>
    <w:rsid w:val="00E12C70"/>
    <w:rsid w:val="00E16582"/>
    <w:rsid w:val="00E26519"/>
    <w:rsid w:val="00E31803"/>
    <w:rsid w:val="00E34A2C"/>
    <w:rsid w:val="00E3611F"/>
    <w:rsid w:val="00E435CE"/>
    <w:rsid w:val="00E500B3"/>
    <w:rsid w:val="00E54734"/>
    <w:rsid w:val="00E55505"/>
    <w:rsid w:val="00E55567"/>
    <w:rsid w:val="00E572D0"/>
    <w:rsid w:val="00E65230"/>
    <w:rsid w:val="00E6563E"/>
    <w:rsid w:val="00E6655C"/>
    <w:rsid w:val="00E727C8"/>
    <w:rsid w:val="00E72B58"/>
    <w:rsid w:val="00E77DF7"/>
    <w:rsid w:val="00E82DBB"/>
    <w:rsid w:val="00E82E37"/>
    <w:rsid w:val="00E83FC5"/>
    <w:rsid w:val="00E87479"/>
    <w:rsid w:val="00E928FC"/>
    <w:rsid w:val="00E94C3B"/>
    <w:rsid w:val="00E95FD0"/>
    <w:rsid w:val="00E96328"/>
    <w:rsid w:val="00EA0E2C"/>
    <w:rsid w:val="00EA45BA"/>
    <w:rsid w:val="00EA60C0"/>
    <w:rsid w:val="00EB43A3"/>
    <w:rsid w:val="00EB52B3"/>
    <w:rsid w:val="00EB7277"/>
    <w:rsid w:val="00EC0409"/>
    <w:rsid w:val="00EC0576"/>
    <w:rsid w:val="00EC2B13"/>
    <w:rsid w:val="00EC53EC"/>
    <w:rsid w:val="00EC776A"/>
    <w:rsid w:val="00ED07A8"/>
    <w:rsid w:val="00ED21B6"/>
    <w:rsid w:val="00EE411B"/>
    <w:rsid w:val="00EE4F61"/>
    <w:rsid w:val="00EE6F62"/>
    <w:rsid w:val="00EF2225"/>
    <w:rsid w:val="00EF45AF"/>
    <w:rsid w:val="00F020C9"/>
    <w:rsid w:val="00F061CD"/>
    <w:rsid w:val="00F07166"/>
    <w:rsid w:val="00F1305F"/>
    <w:rsid w:val="00F146A6"/>
    <w:rsid w:val="00F15FFF"/>
    <w:rsid w:val="00F24207"/>
    <w:rsid w:val="00F25BD9"/>
    <w:rsid w:val="00F3207E"/>
    <w:rsid w:val="00F332CC"/>
    <w:rsid w:val="00F34440"/>
    <w:rsid w:val="00F379EB"/>
    <w:rsid w:val="00F37FAC"/>
    <w:rsid w:val="00F42915"/>
    <w:rsid w:val="00F43F2C"/>
    <w:rsid w:val="00F440C6"/>
    <w:rsid w:val="00F45361"/>
    <w:rsid w:val="00F46622"/>
    <w:rsid w:val="00F61560"/>
    <w:rsid w:val="00F63873"/>
    <w:rsid w:val="00F66670"/>
    <w:rsid w:val="00F67B56"/>
    <w:rsid w:val="00F70DC1"/>
    <w:rsid w:val="00F7518F"/>
    <w:rsid w:val="00F855C4"/>
    <w:rsid w:val="00F91703"/>
    <w:rsid w:val="00F91DF8"/>
    <w:rsid w:val="00F95106"/>
    <w:rsid w:val="00F9541B"/>
    <w:rsid w:val="00FA1B16"/>
    <w:rsid w:val="00FA3C81"/>
    <w:rsid w:val="00FA4AAE"/>
    <w:rsid w:val="00FA741E"/>
    <w:rsid w:val="00FB2C8F"/>
    <w:rsid w:val="00FB2F73"/>
    <w:rsid w:val="00FB4C80"/>
    <w:rsid w:val="00FB5506"/>
    <w:rsid w:val="00FB57D3"/>
    <w:rsid w:val="00FB666B"/>
    <w:rsid w:val="00FC1370"/>
    <w:rsid w:val="00FC4412"/>
    <w:rsid w:val="00FC4E69"/>
    <w:rsid w:val="00FC7CD9"/>
    <w:rsid w:val="00FD0794"/>
    <w:rsid w:val="00FD14D0"/>
    <w:rsid w:val="00FD2779"/>
    <w:rsid w:val="00FD5B8B"/>
    <w:rsid w:val="00FD6B26"/>
    <w:rsid w:val="00FD6C31"/>
    <w:rsid w:val="00FE0E7C"/>
    <w:rsid w:val="00FE3E9D"/>
    <w:rsid w:val="00FE58CD"/>
    <w:rsid w:val="00FE635D"/>
    <w:rsid w:val="00FE7265"/>
    <w:rsid w:val="00FF4311"/>
    <w:rsid w:val="00FF44F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51D17"/>
  <w15:docId w15:val="{6937601B-D577-45A7-B1CC-024CF15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A9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A58A9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6FED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table" w:styleId="a3">
    <w:name w:val="Table Grid"/>
    <w:basedOn w:val="a1"/>
    <w:uiPriority w:val="99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887E20"/>
    <w:rPr>
      <w:szCs w:val="24"/>
    </w:rPr>
  </w:style>
  <w:style w:type="character" w:customStyle="1" w:styleId="20">
    <w:name w:val="Основной текст 2 Знак"/>
    <w:link w:val="2"/>
    <w:uiPriority w:val="99"/>
    <w:semiHidden/>
    <w:rsid w:val="00386FED"/>
    <w:rPr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245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6FED"/>
    <w:rPr>
      <w:sz w:val="0"/>
      <w:szCs w:val="0"/>
      <w:lang w:val="uk-UA"/>
    </w:rPr>
  </w:style>
  <w:style w:type="character" w:styleId="a6">
    <w:name w:val="Hyperlink"/>
    <w:uiPriority w:val="99"/>
    <w:rsid w:val="00C7058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4E35F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86FED"/>
    <w:rPr>
      <w:sz w:val="28"/>
      <w:szCs w:val="20"/>
      <w:lang w:val="uk-UA"/>
    </w:rPr>
  </w:style>
  <w:style w:type="paragraph" w:styleId="a9">
    <w:name w:val="footer"/>
    <w:basedOn w:val="a"/>
    <w:link w:val="aa"/>
    <w:uiPriority w:val="99"/>
    <w:rsid w:val="00567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86FED"/>
    <w:rPr>
      <w:sz w:val="28"/>
      <w:szCs w:val="20"/>
      <w:lang w:val="uk-UA"/>
    </w:rPr>
  </w:style>
  <w:style w:type="character" w:styleId="ab">
    <w:name w:val="page number"/>
    <w:uiPriority w:val="99"/>
    <w:rsid w:val="005670A2"/>
    <w:rPr>
      <w:rFonts w:cs="Times New Roman"/>
    </w:rPr>
  </w:style>
  <w:style w:type="paragraph" w:styleId="ac">
    <w:name w:val="header"/>
    <w:basedOn w:val="a"/>
    <w:link w:val="ad"/>
    <w:uiPriority w:val="99"/>
    <w:rsid w:val="005670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86FED"/>
    <w:rPr>
      <w:sz w:val="28"/>
      <w:szCs w:val="20"/>
      <w:lang w:val="uk-UA"/>
    </w:rPr>
  </w:style>
  <w:style w:type="paragraph" w:styleId="ae">
    <w:name w:val="Document Map"/>
    <w:basedOn w:val="a"/>
    <w:link w:val="af"/>
    <w:uiPriority w:val="99"/>
    <w:semiHidden/>
    <w:rsid w:val="00C338C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rsid w:val="00386FED"/>
    <w:rPr>
      <w:sz w:val="0"/>
      <w:szCs w:val="0"/>
      <w:lang w:val="uk-UA"/>
    </w:rPr>
  </w:style>
  <w:style w:type="paragraph" w:customStyle="1" w:styleId="af0">
    <w:name w:val="Знак Знак Знак"/>
    <w:basedOn w:val="a"/>
    <w:uiPriority w:val="99"/>
    <w:rsid w:val="00F855C4"/>
    <w:rPr>
      <w:rFonts w:ascii="Verdana" w:hAnsi="Verdana" w:cs="Verdana"/>
      <w:sz w:val="20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3547BB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701B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Normal (Web)"/>
    <w:basedOn w:val="a"/>
    <w:unhideWhenUsed/>
    <w:rsid w:val="00F43F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2">
    <w:name w:val="Strong"/>
    <w:basedOn w:val="a0"/>
    <w:uiPriority w:val="22"/>
    <w:qFormat/>
    <w:locked/>
    <w:rsid w:val="00F43F2C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38471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8471E"/>
    <w:rPr>
      <w:sz w:val="28"/>
      <w:lang w:val="uk-UA"/>
    </w:rPr>
  </w:style>
  <w:style w:type="paragraph" w:styleId="af5">
    <w:name w:val="endnote text"/>
    <w:basedOn w:val="a"/>
    <w:link w:val="af6"/>
    <w:uiPriority w:val="99"/>
    <w:semiHidden/>
    <w:unhideWhenUsed/>
    <w:rsid w:val="005A6626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A6626"/>
    <w:rPr>
      <w:lang w:val="uk-UA"/>
    </w:rPr>
  </w:style>
  <w:style w:type="character" w:styleId="af7">
    <w:name w:val="endnote reference"/>
    <w:basedOn w:val="a0"/>
    <w:uiPriority w:val="99"/>
    <w:semiHidden/>
    <w:unhideWhenUsed/>
    <w:rsid w:val="005A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48AA-1087-4A56-9D0B-80294062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2</cp:revision>
  <cp:lastPrinted>2022-01-13T10:23:00Z</cp:lastPrinted>
  <dcterms:created xsi:type="dcterms:W3CDTF">2022-01-13T13:23:00Z</dcterms:created>
  <dcterms:modified xsi:type="dcterms:W3CDTF">2022-01-13T13:23:00Z</dcterms:modified>
</cp:coreProperties>
</file>