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4" w:rsidRDefault="00227B34" w:rsidP="0022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B34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27B34" w:rsidRDefault="00227B34" w:rsidP="0022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комунального закладу культури</w:t>
      </w:r>
    </w:p>
    <w:p w:rsidR="00227B34" w:rsidRDefault="00227B34" w:rsidP="0022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Дніпровська дитяча музична школа №17»</w:t>
      </w:r>
    </w:p>
    <w:p w:rsidR="00227B34" w:rsidRPr="00227B34" w:rsidRDefault="00227B34" w:rsidP="0022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(основні показники)</w:t>
      </w:r>
    </w:p>
    <w:p w:rsidR="00227B34" w:rsidRDefault="00227B34" w:rsidP="00227B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B34" w:rsidRPr="00D87C4F" w:rsidRDefault="00227B34" w:rsidP="00227B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C4F">
        <w:rPr>
          <w:rFonts w:ascii="Times New Roman" w:hAnsi="Times New Roman" w:cs="Times New Roman"/>
          <w:sz w:val="28"/>
          <w:szCs w:val="28"/>
          <w:lang w:val="uk-UA"/>
        </w:rPr>
        <w:t>Контингент школи  протягом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підтримувався   без змін   305 учнів.</w:t>
      </w:r>
      <w:r w:rsidRPr="00D87C4F">
        <w:rPr>
          <w:rFonts w:ascii="Times New Roman" w:hAnsi="Times New Roman" w:cs="Times New Roman"/>
          <w:sz w:val="28"/>
          <w:szCs w:val="28"/>
          <w:lang w:val="uk-UA"/>
        </w:rPr>
        <w:t xml:space="preserve"> В школі працює 5 відділів:</w:t>
      </w:r>
    </w:p>
    <w:p w:rsidR="00227B34" w:rsidRPr="00D87C4F" w:rsidRDefault="00227B34" w:rsidP="00227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4F">
        <w:rPr>
          <w:rFonts w:ascii="Times New Roman" w:hAnsi="Times New Roman" w:cs="Times New Roman"/>
          <w:sz w:val="28"/>
          <w:szCs w:val="28"/>
          <w:lang w:val="uk-UA"/>
        </w:rPr>
        <w:t>фортепіанний</w:t>
      </w:r>
    </w:p>
    <w:p w:rsidR="00227B34" w:rsidRPr="00D87C4F" w:rsidRDefault="00227B34" w:rsidP="00227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4F">
        <w:rPr>
          <w:rFonts w:ascii="Times New Roman" w:hAnsi="Times New Roman" w:cs="Times New Roman"/>
          <w:sz w:val="28"/>
          <w:szCs w:val="28"/>
          <w:lang w:val="uk-UA"/>
        </w:rPr>
        <w:t>струнно-смичковий</w:t>
      </w:r>
    </w:p>
    <w:p w:rsidR="00227B34" w:rsidRPr="00D87C4F" w:rsidRDefault="00227B34" w:rsidP="00227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4F">
        <w:rPr>
          <w:rFonts w:ascii="Times New Roman" w:hAnsi="Times New Roman" w:cs="Times New Roman"/>
          <w:sz w:val="28"/>
          <w:szCs w:val="28"/>
          <w:lang w:val="uk-UA"/>
        </w:rPr>
        <w:t>відділ народних інструментів</w:t>
      </w:r>
    </w:p>
    <w:p w:rsidR="00227B34" w:rsidRPr="00D87C4F" w:rsidRDefault="00227B34" w:rsidP="00227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вокально-</w:t>
      </w:r>
      <w:r w:rsidRPr="00D87C4F">
        <w:rPr>
          <w:rFonts w:ascii="Times New Roman" w:hAnsi="Times New Roman" w:cs="Times New Roman"/>
          <w:sz w:val="28"/>
          <w:szCs w:val="28"/>
          <w:lang w:val="uk-UA"/>
        </w:rPr>
        <w:t>хоровий</w:t>
      </w:r>
    </w:p>
    <w:p w:rsidR="00227B34" w:rsidRPr="00D87C4F" w:rsidRDefault="00227B34" w:rsidP="00227B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5)  муз.-</w:t>
      </w:r>
      <w:r w:rsidRPr="00D87C4F">
        <w:rPr>
          <w:rFonts w:ascii="Times New Roman" w:hAnsi="Times New Roman" w:cs="Times New Roman"/>
          <w:sz w:val="28"/>
          <w:szCs w:val="28"/>
          <w:lang w:val="uk-UA"/>
        </w:rPr>
        <w:t>теоретичний</w:t>
      </w:r>
    </w:p>
    <w:p w:rsidR="00227B34" w:rsidRPr="00D87C4F" w:rsidRDefault="00227B34" w:rsidP="00227B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4F">
        <w:rPr>
          <w:rFonts w:ascii="Times New Roman" w:hAnsi="Times New Roman" w:cs="Times New Roman"/>
          <w:sz w:val="28"/>
          <w:szCs w:val="28"/>
          <w:lang w:val="uk-UA"/>
        </w:rPr>
        <w:t xml:space="preserve">          та клас флейти.</w:t>
      </w:r>
    </w:p>
    <w:p w:rsidR="00227B34" w:rsidRPr="00D87C4F" w:rsidRDefault="00227B34" w:rsidP="00227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4F">
        <w:rPr>
          <w:rFonts w:ascii="Times New Roman" w:hAnsi="Times New Roman" w:cs="Times New Roman"/>
          <w:sz w:val="28"/>
          <w:szCs w:val="28"/>
          <w:lang w:val="uk-UA"/>
        </w:rPr>
        <w:t>На базі 4 виконавських відділів продовжують розвиватися  _8__ великих та _16_ колективів малих форм. З них 4 мають у своєм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арсеналі концертні програми - </w:t>
      </w:r>
      <w:r w:rsidRPr="00D87C4F">
        <w:rPr>
          <w:rFonts w:ascii="Times New Roman" w:hAnsi="Times New Roman" w:cs="Times New Roman"/>
          <w:sz w:val="28"/>
          <w:szCs w:val="28"/>
          <w:lang w:val="uk-UA"/>
        </w:rPr>
        <w:t>це камерний хор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Срібні голоси»; вокальний ансамбль «Акцент» </w:t>
      </w:r>
      <w:r w:rsidRPr="00D87C4F">
        <w:rPr>
          <w:rFonts w:ascii="Times New Roman" w:hAnsi="Times New Roman" w:cs="Times New Roman"/>
          <w:sz w:val="28"/>
          <w:szCs w:val="28"/>
          <w:lang w:val="uk-UA"/>
        </w:rPr>
        <w:t>; Хор молодш</w:t>
      </w:r>
      <w:r>
        <w:rPr>
          <w:rFonts w:ascii="Times New Roman" w:hAnsi="Times New Roman" w:cs="Times New Roman"/>
          <w:sz w:val="28"/>
          <w:szCs w:val="28"/>
          <w:lang w:val="uk-UA"/>
        </w:rPr>
        <w:t>их класів  та ансамбль народних інструментів «Калинка». І</w:t>
      </w:r>
      <w:r w:rsidRPr="00D87C4F">
        <w:rPr>
          <w:rFonts w:ascii="Times New Roman" w:hAnsi="Times New Roman" w:cs="Times New Roman"/>
          <w:sz w:val="28"/>
          <w:szCs w:val="28"/>
          <w:lang w:val="uk-UA"/>
        </w:rPr>
        <w:t>нші знаходяться  на стадії переформування та професійного росту.</w:t>
      </w:r>
    </w:p>
    <w:p w:rsidR="00227B34" w:rsidRPr="00ED100D" w:rsidRDefault="00227B34" w:rsidP="00227B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100D">
        <w:rPr>
          <w:rFonts w:ascii="Times New Roman" w:hAnsi="Times New Roman" w:cs="Times New Roman"/>
          <w:sz w:val="28"/>
          <w:szCs w:val="28"/>
          <w:lang w:val="uk-UA"/>
        </w:rPr>
        <w:t xml:space="preserve">ротягом року відділи школи провели ще низку заходів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культурно-</w:t>
      </w:r>
      <w:r w:rsidRPr="00ED100D">
        <w:rPr>
          <w:rFonts w:ascii="Times New Roman" w:hAnsi="Times New Roman" w:cs="Times New Roman"/>
          <w:b/>
          <w:sz w:val="28"/>
          <w:szCs w:val="28"/>
          <w:lang w:val="uk-UA"/>
        </w:rPr>
        <w:t>просвітницького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D100D">
        <w:rPr>
          <w:rFonts w:ascii="Times New Roman" w:hAnsi="Times New Roman" w:cs="Times New Roman"/>
          <w:sz w:val="28"/>
          <w:szCs w:val="28"/>
          <w:lang w:val="uk-UA"/>
        </w:rPr>
        <w:t>тематичні та святкові концерти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«Новорічна фантазія», «Перші акорди весни»</w:t>
      </w:r>
      <w:r w:rsidRPr="00ED100D">
        <w:rPr>
          <w:rFonts w:ascii="Times New Roman" w:hAnsi="Times New Roman" w:cs="Times New Roman"/>
          <w:sz w:val="28"/>
          <w:szCs w:val="28"/>
          <w:lang w:val="uk-UA"/>
        </w:rPr>
        <w:t xml:space="preserve">, цикл «Філармонія школяра», творчі зустрічі у школі та за її межами, лекції бесіди, тощо)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r w:rsidRPr="00ED100D">
        <w:rPr>
          <w:rFonts w:ascii="Times New Roman" w:hAnsi="Times New Roman" w:cs="Times New Roman"/>
          <w:b/>
          <w:sz w:val="28"/>
          <w:szCs w:val="28"/>
          <w:lang w:val="uk-UA"/>
        </w:rPr>
        <w:t>виховного</w:t>
      </w:r>
      <w:r w:rsidRPr="00ED1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напрямку (конкурси, олімпіади, </w:t>
      </w:r>
      <w:r w:rsidRPr="00ED100D">
        <w:rPr>
          <w:rFonts w:ascii="Times New Roman" w:hAnsi="Times New Roman" w:cs="Times New Roman"/>
          <w:sz w:val="28"/>
          <w:szCs w:val="28"/>
          <w:lang w:val="uk-UA"/>
        </w:rPr>
        <w:t>вікторини,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00D">
        <w:rPr>
          <w:rFonts w:ascii="Times New Roman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sz w:val="28"/>
          <w:szCs w:val="28"/>
          <w:lang w:val="uk-UA"/>
        </w:rPr>
        <w:t>)  на майданчиках різних рівнів</w:t>
      </w:r>
      <w:r w:rsidRPr="00ED10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27B34" w:rsidRPr="006D017F" w:rsidRDefault="00227B34" w:rsidP="00227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017F">
        <w:rPr>
          <w:rFonts w:ascii="Times New Roman" w:hAnsi="Times New Roman" w:cs="Times New Roman"/>
          <w:sz w:val="28"/>
          <w:szCs w:val="28"/>
          <w:lang w:val="uk-UA"/>
        </w:rPr>
        <w:t>внутрішкільні</w:t>
      </w:r>
      <w:proofErr w:type="spellEnd"/>
      <w:r w:rsidRPr="006D017F">
        <w:rPr>
          <w:rFonts w:ascii="Times New Roman" w:hAnsi="Times New Roman" w:cs="Times New Roman"/>
          <w:sz w:val="28"/>
          <w:szCs w:val="28"/>
          <w:lang w:val="uk-UA"/>
        </w:rPr>
        <w:t xml:space="preserve"> -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7F">
        <w:rPr>
          <w:rFonts w:ascii="Times New Roman" w:hAnsi="Times New Roman" w:cs="Times New Roman"/>
          <w:b/>
          <w:sz w:val="28"/>
          <w:szCs w:val="28"/>
          <w:lang w:val="uk-UA"/>
        </w:rPr>
        <w:t>к/п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017F">
        <w:rPr>
          <w:rFonts w:ascii="Times New Roman" w:hAnsi="Times New Roman" w:cs="Times New Roman"/>
          <w:b/>
          <w:sz w:val="28"/>
          <w:szCs w:val="28"/>
          <w:lang w:val="uk-UA"/>
        </w:rPr>
        <w:t>н/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-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7B34" w:rsidRPr="006D017F" w:rsidRDefault="00227B34" w:rsidP="00227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районі -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017F">
        <w:rPr>
          <w:rFonts w:ascii="Times New Roman" w:hAnsi="Times New Roman" w:cs="Times New Roman"/>
          <w:b/>
          <w:sz w:val="28"/>
          <w:szCs w:val="28"/>
          <w:lang w:val="uk-UA"/>
        </w:rPr>
        <w:t>к/п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 xml:space="preserve"> 27,</w:t>
      </w:r>
      <w:r w:rsidRPr="006D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0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017F">
        <w:rPr>
          <w:rFonts w:ascii="Times New Roman" w:hAnsi="Times New Roman" w:cs="Times New Roman"/>
          <w:b/>
          <w:sz w:val="28"/>
          <w:szCs w:val="28"/>
          <w:lang w:val="uk-UA"/>
        </w:rPr>
        <w:t>н/в</w:t>
      </w:r>
      <w:r w:rsidRPr="006D0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017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7B34" w:rsidRDefault="00227B34" w:rsidP="00227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17F">
        <w:rPr>
          <w:rFonts w:ascii="Times New Roman" w:hAnsi="Times New Roman" w:cs="Times New Roman"/>
          <w:sz w:val="28"/>
          <w:szCs w:val="28"/>
          <w:lang w:val="uk-UA"/>
        </w:rPr>
        <w:t xml:space="preserve">міські  -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017F">
        <w:rPr>
          <w:rFonts w:ascii="Times New Roman" w:hAnsi="Times New Roman" w:cs="Times New Roman"/>
          <w:b/>
          <w:sz w:val="28"/>
          <w:szCs w:val="28"/>
          <w:lang w:val="uk-UA"/>
        </w:rPr>
        <w:t>к/п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 xml:space="preserve"> 3,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D017F">
        <w:rPr>
          <w:rFonts w:ascii="Times New Roman" w:hAnsi="Times New Roman" w:cs="Times New Roman"/>
          <w:b/>
          <w:sz w:val="28"/>
          <w:szCs w:val="28"/>
          <w:lang w:val="uk-UA"/>
        </w:rPr>
        <w:t>н/в</w:t>
      </w:r>
      <w:r w:rsidRPr="006D0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017F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01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7B34" w:rsidRDefault="00227B34" w:rsidP="00227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895196">
        <w:rPr>
          <w:rFonts w:ascii="Times New Roman" w:hAnsi="Times New Roman" w:cs="Times New Roman"/>
          <w:b/>
          <w:sz w:val="28"/>
          <w:szCs w:val="28"/>
          <w:lang w:val="uk-UA"/>
        </w:rPr>
        <w:t>к/п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1,     </w:t>
      </w:r>
      <w:r w:rsidRPr="00895196">
        <w:rPr>
          <w:rFonts w:ascii="Times New Roman" w:hAnsi="Times New Roman" w:cs="Times New Roman"/>
          <w:b/>
          <w:sz w:val="28"/>
          <w:szCs w:val="28"/>
          <w:lang w:val="uk-UA"/>
        </w:rPr>
        <w:t>н/в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1.</w:t>
      </w:r>
    </w:p>
    <w:p w:rsidR="00227B34" w:rsidRPr="00C41E40" w:rsidRDefault="00227B34" w:rsidP="00227B34">
      <w:pPr>
        <w:pStyle w:val="a4"/>
        <w:spacing w:after="0" w:line="24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C41E40">
        <w:rPr>
          <w:rFonts w:ascii="Times New Roman" w:hAnsi="Times New Roman" w:cs="Times New Roman"/>
          <w:sz w:val="28"/>
          <w:szCs w:val="28"/>
          <w:lang w:val="uk-UA"/>
        </w:rPr>
        <w:t>Колективи та солісти школи протягом року брали активну участь у міських, обласних, всеукраїнських та міжнародних  конкурсах та фестивалях («Музична веселка», «</w:t>
      </w:r>
      <w:r w:rsidRPr="00C41E40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C41E40">
        <w:rPr>
          <w:rFonts w:ascii="Times New Roman" w:hAnsi="Times New Roman" w:cs="Times New Roman"/>
          <w:sz w:val="28"/>
          <w:szCs w:val="28"/>
          <w:lang w:val="uk-UA"/>
        </w:rPr>
        <w:t>_ефір</w:t>
      </w:r>
      <w:proofErr w:type="spellEnd"/>
      <w:r w:rsidRPr="00C41E40">
        <w:rPr>
          <w:rFonts w:ascii="Times New Roman" w:hAnsi="Times New Roman" w:cs="Times New Roman"/>
          <w:sz w:val="28"/>
          <w:szCs w:val="28"/>
          <w:lang w:val="uk-UA"/>
        </w:rPr>
        <w:t>», «Золотий Орфей», «Чарівний камертон», «Акорди Хортиці», «Від нотки до нотки», ім.. Б. Гмирі, «Дніпрова пісня», «Сучасні ритми», «Перші проліски», «Золотий зорепад», «Новорічна феєрія» і т. д.). Серед них міських – 3, обласних – 4, всеукраїнських – 10, міжнародних – 6. На конкурсах було здобуто нагороди всіх рівнів: Гран-Прі – 2, І місце – 28, ІІ місце – 35, ІІІ місце – 31, Дипломант – 4, участь – 16. Перемог на міських конкурсах – 9, обласних – 16, всеукраїнських – 64, міжнародних – 12.</w:t>
      </w:r>
    </w:p>
    <w:p w:rsidR="00B27079" w:rsidRPr="00227B34" w:rsidRDefault="00B27079">
      <w:pPr>
        <w:rPr>
          <w:lang w:val="uk-UA"/>
        </w:rPr>
      </w:pPr>
    </w:p>
    <w:sectPr w:rsidR="00B27079" w:rsidRPr="0022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EC7"/>
    <w:multiLevelType w:val="hybridMultilevel"/>
    <w:tmpl w:val="6E2AC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321"/>
    <w:multiLevelType w:val="hybridMultilevel"/>
    <w:tmpl w:val="810E60EC"/>
    <w:lvl w:ilvl="0" w:tplc="05C4773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B34"/>
    <w:rsid w:val="00227B34"/>
    <w:rsid w:val="00B2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3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27B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2019-08-21T11:36:00Z</dcterms:created>
  <dcterms:modified xsi:type="dcterms:W3CDTF">2019-08-21T11:41:00Z</dcterms:modified>
</cp:coreProperties>
</file>