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53" w:rsidRPr="00BE7343" w:rsidRDefault="00C60A5C" w:rsidP="004C795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4C7953" w:rsidRPr="00BE7343">
        <w:rPr>
          <w:sz w:val="24"/>
          <w:szCs w:val="24"/>
        </w:rPr>
        <w:t>Додаток 1</w:t>
      </w:r>
    </w:p>
    <w:p w:rsidR="004C7953" w:rsidRPr="008C3F4E" w:rsidRDefault="004C7953" w:rsidP="004C7953">
      <w:pPr>
        <w:jc w:val="center"/>
        <w:rPr>
          <w:sz w:val="24"/>
          <w:szCs w:val="24"/>
        </w:rPr>
      </w:pPr>
      <w:r w:rsidRPr="008C3F4E">
        <w:rPr>
          <w:b/>
          <w:sz w:val="24"/>
          <w:szCs w:val="24"/>
        </w:rPr>
        <w:t>ІНФОРМАЦІЯ</w:t>
      </w:r>
    </w:p>
    <w:p w:rsidR="00083465" w:rsidRPr="008C3F4E" w:rsidRDefault="004C7953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 xml:space="preserve">про стан </w:t>
      </w:r>
      <w:r w:rsidR="00824518" w:rsidRPr="008C3F4E">
        <w:rPr>
          <w:b/>
          <w:sz w:val="24"/>
          <w:szCs w:val="24"/>
        </w:rPr>
        <w:t>у</w:t>
      </w:r>
      <w:r w:rsidRPr="008C3F4E">
        <w:rPr>
          <w:b/>
          <w:sz w:val="24"/>
          <w:szCs w:val="24"/>
        </w:rPr>
        <w:t>провадження державної регуляторної</w:t>
      </w:r>
      <w:r w:rsidR="00083465" w:rsidRPr="008C3F4E">
        <w:rPr>
          <w:b/>
          <w:sz w:val="24"/>
          <w:szCs w:val="24"/>
        </w:rPr>
        <w:t xml:space="preserve"> </w:t>
      </w:r>
    </w:p>
    <w:p w:rsidR="004C7953" w:rsidRPr="008C3F4E" w:rsidRDefault="004C7953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політики у сфері господарської діяльності</w:t>
      </w:r>
    </w:p>
    <w:p w:rsidR="00BE7343" w:rsidRPr="008C3F4E" w:rsidRDefault="00AF0405" w:rsidP="00BE7343">
      <w:pPr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(м. Дніпро)</w:t>
      </w:r>
    </w:p>
    <w:tbl>
      <w:tblPr>
        <w:tblStyle w:val="a4"/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42"/>
        <w:gridCol w:w="1275"/>
        <w:gridCol w:w="1134"/>
        <w:gridCol w:w="1134"/>
        <w:gridCol w:w="1134"/>
      </w:tblGrid>
      <w:tr w:rsidR="00F22DFE" w:rsidRPr="00101FDB" w:rsidTr="00F22DFE">
        <w:tc>
          <w:tcPr>
            <w:tcW w:w="5142" w:type="dxa"/>
            <w:vAlign w:val="center"/>
          </w:tcPr>
          <w:p w:rsidR="00F22DFE" w:rsidRPr="00101FDB" w:rsidRDefault="00F22DFE" w:rsidP="004C7953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Критерії оцінки стану впровадження</w:t>
            </w:r>
          </w:p>
          <w:p w:rsidR="00F22DFE" w:rsidRPr="00101FDB" w:rsidRDefault="00F22DFE" w:rsidP="004C7953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державної регуляторної політики</w:t>
            </w:r>
          </w:p>
          <w:p w:rsidR="00F22DFE" w:rsidRPr="00101FDB" w:rsidRDefault="00F22DFE" w:rsidP="004C7953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у сфері господарської діяльності</w:t>
            </w:r>
          </w:p>
        </w:tc>
        <w:tc>
          <w:tcPr>
            <w:tcW w:w="1275" w:type="dxa"/>
            <w:vAlign w:val="center"/>
          </w:tcPr>
          <w:p w:rsidR="00F22DFE" w:rsidRPr="00101FDB" w:rsidRDefault="00F22DFE" w:rsidP="0006606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Всього</w:t>
            </w:r>
          </w:p>
          <w:p w:rsidR="00F22DFE" w:rsidRPr="00101FDB" w:rsidRDefault="00F22DFE" w:rsidP="0006606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 початку року</w:t>
            </w:r>
          </w:p>
        </w:tc>
        <w:tc>
          <w:tcPr>
            <w:tcW w:w="1134" w:type="dxa"/>
            <w:vAlign w:val="center"/>
          </w:tcPr>
          <w:p w:rsidR="00F22DFE" w:rsidRPr="00101FDB" w:rsidRDefault="00F22DFE" w:rsidP="0006606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F22DFE" w:rsidRPr="00101FDB" w:rsidRDefault="00F22DFE" w:rsidP="0006606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 xml:space="preserve"> </w:t>
            </w:r>
          </w:p>
          <w:p w:rsidR="00F22DFE" w:rsidRPr="00101FDB" w:rsidRDefault="00F22DFE" w:rsidP="0006606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квартал</w:t>
            </w:r>
          </w:p>
          <w:p w:rsidR="00F22DFE" w:rsidRPr="00101FDB" w:rsidRDefault="00F22DFE" w:rsidP="00C60A5C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134" w:type="dxa"/>
          </w:tcPr>
          <w:p w:rsidR="00F22DFE" w:rsidRPr="00101FDB" w:rsidRDefault="00F22DFE" w:rsidP="009E01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4C020D" w:rsidRPr="00101FDB" w:rsidRDefault="00F22DFE" w:rsidP="009E01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 xml:space="preserve">І </w:t>
            </w:r>
          </w:p>
          <w:p w:rsidR="00F22DFE" w:rsidRPr="00101FDB" w:rsidRDefault="00F22DFE" w:rsidP="009E01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квартал</w:t>
            </w:r>
          </w:p>
          <w:p w:rsidR="00F22DFE" w:rsidRPr="00101FDB" w:rsidRDefault="00F22DFE" w:rsidP="009E012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  <w:tc>
          <w:tcPr>
            <w:tcW w:w="1134" w:type="dxa"/>
          </w:tcPr>
          <w:p w:rsidR="00F22DFE" w:rsidRPr="00101FDB" w:rsidRDefault="00F22DFE" w:rsidP="00F22DFE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За</w:t>
            </w:r>
          </w:p>
          <w:p w:rsidR="00F22DFE" w:rsidRPr="00101FDB" w:rsidRDefault="00F22DFE" w:rsidP="00F22DFE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  <w:lang w:val="en-US"/>
              </w:rPr>
              <w:t>I</w:t>
            </w:r>
            <w:r w:rsidRPr="00101FDB">
              <w:rPr>
                <w:sz w:val="24"/>
                <w:szCs w:val="24"/>
              </w:rPr>
              <w:t>І</w:t>
            </w:r>
            <w:r w:rsidR="00231A09" w:rsidRPr="00101FDB">
              <w:rPr>
                <w:sz w:val="24"/>
                <w:szCs w:val="24"/>
              </w:rPr>
              <w:t xml:space="preserve">І </w:t>
            </w:r>
            <w:r w:rsidRPr="00101FDB">
              <w:rPr>
                <w:sz w:val="24"/>
                <w:szCs w:val="24"/>
              </w:rPr>
              <w:t>квартал</w:t>
            </w:r>
          </w:p>
          <w:p w:rsidR="00F22DFE" w:rsidRPr="00101FDB" w:rsidRDefault="00F22DFE" w:rsidP="00F22DFE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2018 року</w:t>
            </w:r>
          </w:p>
        </w:tc>
      </w:tr>
      <w:tr w:rsidR="00F22DFE" w:rsidRPr="00810564" w:rsidTr="004C020D">
        <w:tc>
          <w:tcPr>
            <w:tcW w:w="5142" w:type="dxa"/>
            <w:vAlign w:val="center"/>
          </w:tcPr>
          <w:p w:rsidR="00F22DFE" w:rsidRPr="00101FDB" w:rsidRDefault="00F22DFE" w:rsidP="00101FDB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Наявність   плану   діяльності   з   підготовки проектів  регуляторних  актів   (так, ні)</w:t>
            </w:r>
          </w:p>
        </w:tc>
        <w:tc>
          <w:tcPr>
            <w:tcW w:w="1275" w:type="dxa"/>
            <w:vAlign w:val="center"/>
          </w:tcPr>
          <w:p w:rsidR="00F22DFE" w:rsidRPr="00101FDB" w:rsidRDefault="00F22DFE" w:rsidP="0006606C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  <w:vAlign w:val="center"/>
          </w:tcPr>
          <w:p w:rsidR="00F22DFE" w:rsidRPr="00101FDB" w:rsidRDefault="00F22DFE" w:rsidP="0006606C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  <w:vAlign w:val="center"/>
          </w:tcPr>
          <w:p w:rsidR="00F22DFE" w:rsidRPr="00101FDB" w:rsidRDefault="00F22DFE" w:rsidP="0006606C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  <w:vAlign w:val="center"/>
          </w:tcPr>
          <w:p w:rsidR="00F22DFE" w:rsidRPr="00101FDB" w:rsidRDefault="000E6056" w:rsidP="0006606C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</w:tr>
      <w:tr w:rsidR="00F22DFE" w:rsidRPr="003C0B5E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 xml:space="preserve">Кількість </w:t>
            </w:r>
            <w:r w:rsidR="00522DFF">
              <w:rPr>
                <w:sz w:val="24"/>
                <w:szCs w:val="24"/>
              </w:rPr>
              <w:t>запланованих проектів регулятор</w:t>
            </w:r>
            <w:r w:rsidRPr="00101FDB">
              <w:rPr>
                <w:sz w:val="24"/>
                <w:szCs w:val="24"/>
              </w:rPr>
              <w:t>них актів, одиниць</w:t>
            </w:r>
          </w:p>
        </w:tc>
        <w:tc>
          <w:tcPr>
            <w:tcW w:w="1275" w:type="dxa"/>
          </w:tcPr>
          <w:p w:rsidR="00F22DFE" w:rsidRPr="00101FDB" w:rsidRDefault="00300102" w:rsidP="00AB4FC5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22DFE" w:rsidRPr="00101FDB" w:rsidRDefault="00F22DFE" w:rsidP="007A7C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2DFE" w:rsidRPr="00101FDB" w:rsidRDefault="00F22DFE" w:rsidP="007A7C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22DFE" w:rsidRPr="00101FDB" w:rsidRDefault="004C020D" w:rsidP="007A7C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7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 прийнятих  регуляторних  актів, одиниць</w:t>
            </w:r>
          </w:p>
        </w:tc>
        <w:tc>
          <w:tcPr>
            <w:tcW w:w="1275" w:type="dxa"/>
          </w:tcPr>
          <w:p w:rsidR="00F22DFE" w:rsidRPr="00101FDB" w:rsidRDefault="00885828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4C020D" w:rsidP="00885828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 xml:space="preserve">1 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8C3F4E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 опублікованих  повідомлень  про оприлюднення проектів регуляторних актів/ проектів  регуляторних  актів  з  аналізом  їх регуляторного впливу, одиниць:</w:t>
            </w:r>
          </w:p>
        </w:tc>
        <w:tc>
          <w:tcPr>
            <w:tcW w:w="1275" w:type="dxa"/>
          </w:tcPr>
          <w:p w:rsidR="00F22DFE" w:rsidRPr="00101FDB" w:rsidRDefault="00083465" w:rsidP="00771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2DFE" w:rsidRPr="00101FDB">
              <w:rPr>
                <w:sz w:val="24"/>
                <w:szCs w:val="24"/>
              </w:rPr>
              <w:t>/3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2/1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2/2</w:t>
            </w:r>
          </w:p>
        </w:tc>
        <w:tc>
          <w:tcPr>
            <w:tcW w:w="1134" w:type="dxa"/>
          </w:tcPr>
          <w:p w:rsidR="00F22DFE" w:rsidRPr="00101FDB" w:rsidRDefault="00083465" w:rsidP="00D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у друкованих засобах масової інформації</w:t>
            </w:r>
          </w:p>
        </w:tc>
        <w:tc>
          <w:tcPr>
            <w:tcW w:w="1275" w:type="dxa"/>
          </w:tcPr>
          <w:p w:rsidR="00F22DFE" w:rsidRPr="00101FDB" w:rsidRDefault="00083465" w:rsidP="00D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DFE" w:rsidRPr="00101FDB" w:rsidRDefault="00083465" w:rsidP="00D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8C3F4E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на офіційних веб-сторінках місцевих органів виконавчої влади та органів місцевого само-врядування</w:t>
            </w:r>
          </w:p>
        </w:tc>
        <w:tc>
          <w:tcPr>
            <w:tcW w:w="1275" w:type="dxa"/>
          </w:tcPr>
          <w:p w:rsidR="00F22DFE" w:rsidRPr="00101FDB" w:rsidRDefault="00083465" w:rsidP="00D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DFE" w:rsidRPr="00101FDB" w:rsidRDefault="00083465" w:rsidP="00DE6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8C3F4E">
            <w:pPr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наданих пропозицій/зауважень до проектів регуляторних актів від представників  громадськості, одиниць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4C020D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проведених публічних обговорень  проектів регуляторних актів, одиниць:</w:t>
            </w:r>
          </w:p>
        </w:tc>
        <w:tc>
          <w:tcPr>
            <w:tcW w:w="1275" w:type="dxa"/>
          </w:tcPr>
          <w:p w:rsidR="00F22DFE" w:rsidRPr="00101FDB" w:rsidRDefault="004C020D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22DFE" w:rsidRPr="00101FDB" w:rsidRDefault="004C020D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громадських слухань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круглих столів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- семінарів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 xml:space="preserve">- форумів, </w:t>
            </w:r>
            <w:r w:rsidRPr="00101FDB">
              <w:rPr>
                <w:sz w:val="24"/>
                <w:szCs w:val="24"/>
                <w:u w:val="single"/>
              </w:rPr>
              <w:t xml:space="preserve">зборів </w:t>
            </w:r>
          </w:p>
        </w:tc>
        <w:tc>
          <w:tcPr>
            <w:tcW w:w="1275" w:type="dxa"/>
          </w:tcPr>
          <w:p w:rsidR="00F22DFE" w:rsidRPr="00101FDB" w:rsidRDefault="004C020D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  <w:lang w:val="en-US"/>
              </w:rPr>
            </w:pPr>
            <w:r w:rsidRPr="00101F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22DFE" w:rsidRPr="00101FDB" w:rsidRDefault="004C020D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1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Наявність реєстру чинних регуляторних актів (так, ні)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  <w:tc>
          <w:tcPr>
            <w:tcW w:w="1134" w:type="dxa"/>
          </w:tcPr>
          <w:p w:rsidR="00F22DFE" w:rsidRPr="00101FDB" w:rsidRDefault="000E6056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Так</w:t>
            </w:r>
          </w:p>
        </w:tc>
      </w:tr>
      <w:tr w:rsidR="00F22DFE" w:rsidRPr="00810564" w:rsidTr="00F22DFE">
        <w:tc>
          <w:tcPr>
            <w:tcW w:w="5142" w:type="dxa"/>
          </w:tcPr>
          <w:p w:rsidR="00F22DFE" w:rsidRPr="00101FDB" w:rsidRDefault="00083465" w:rsidP="00101FD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22DFE" w:rsidRPr="00101FDB">
              <w:rPr>
                <w:sz w:val="24"/>
                <w:szCs w:val="24"/>
              </w:rPr>
              <w:t>кількість регуляторних актів внесених до нього:</w:t>
            </w:r>
          </w:p>
        </w:tc>
        <w:tc>
          <w:tcPr>
            <w:tcW w:w="1275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22DFE" w:rsidRPr="00101FDB" w:rsidRDefault="00F22DFE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22DFE" w:rsidRPr="00101FDB" w:rsidRDefault="00BC420F" w:rsidP="00DE6231">
            <w:pPr>
              <w:jc w:val="center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35</w:t>
            </w:r>
          </w:p>
        </w:tc>
      </w:tr>
      <w:tr w:rsidR="00F22DFE" w:rsidRPr="007D37D5" w:rsidTr="00F22DFE">
        <w:trPr>
          <w:trHeight w:val="345"/>
        </w:trPr>
        <w:tc>
          <w:tcPr>
            <w:tcW w:w="5142" w:type="dxa"/>
            <w:vMerge w:val="restart"/>
          </w:tcPr>
          <w:p w:rsidR="00F22DFE" w:rsidRPr="00101FDB" w:rsidRDefault="00F22DFE" w:rsidP="00101FDB">
            <w:pPr>
              <w:ind w:left="-108"/>
              <w:jc w:val="both"/>
              <w:rPr>
                <w:sz w:val="24"/>
                <w:szCs w:val="24"/>
              </w:rPr>
            </w:pPr>
            <w:r w:rsidRPr="00101FDB">
              <w:rPr>
                <w:sz w:val="24"/>
                <w:szCs w:val="24"/>
              </w:rPr>
              <w:t>Кількість проведених заходів з відстеження результативності  регуляторних актів із зазна-ченням типу відстеження (обов’язково зазна-чити:  базове,  повторне  або  періодичне) та термінів їх виконання</w:t>
            </w:r>
          </w:p>
        </w:tc>
        <w:tc>
          <w:tcPr>
            <w:tcW w:w="1275" w:type="dxa"/>
          </w:tcPr>
          <w:p w:rsidR="00F22DFE" w:rsidRPr="007D37D5" w:rsidRDefault="00F22DFE" w:rsidP="00ED4459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 xml:space="preserve">– </w:t>
            </w:r>
            <w:r w:rsidR="000E6056" w:rsidRPr="007D37D5">
              <w:t>4</w:t>
            </w:r>
            <w:r w:rsidR="00083465">
              <w:t>:</w:t>
            </w:r>
          </w:p>
          <w:p w:rsidR="00F22DFE" w:rsidRPr="007D37D5" w:rsidRDefault="00F22DFE" w:rsidP="00ED4459">
            <w:pPr>
              <w:ind w:left="-108" w:right="-108"/>
            </w:pPr>
            <w:r w:rsidRPr="007D37D5">
              <w:t>25.12.2017-15.01.2018; 09.01.2018-25.01.2018;</w:t>
            </w:r>
          </w:p>
          <w:p w:rsidR="00F22DFE" w:rsidRDefault="00F22DFE" w:rsidP="00ED4459">
            <w:pPr>
              <w:ind w:left="-108" w:right="-108"/>
            </w:pPr>
            <w:r w:rsidRPr="007D37D5">
              <w:t>09.04.2018 -09.05.2018</w:t>
            </w:r>
            <w:r w:rsidR="00083465">
              <w:t>;</w:t>
            </w:r>
          </w:p>
          <w:p w:rsidR="00083465" w:rsidRDefault="00083465" w:rsidP="00ED4459">
            <w:pPr>
              <w:ind w:left="-108" w:right="-108"/>
            </w:pPr>
            <w:r>
              <w:t>03.09.2018-</w:t>
            </w:r>
          </w:p>
          <w:p w:rsidR="00083465" w:rsidRPr="007D37D5" w:rsidRDefault="00083465" w:rsidP="00083465">
            <w:pPr>
              <w:ind w:left="-108" w:right="-108"/>
              <w:rPr>
                <w:lang w:val="en-US"/>
              </w:rPr>
            </w:pPr>
            <w:r>
              <w:t>28.09.2018</w:t>
            </w:r>
          </w:p>
        </w:tc>
        <w:tc>
          <w:tcPr>
            <w:tcW w:w="1134" w:type="dxa"/>
          </w:tcPr>
          <w:p w:rsidR="00F22DFE" w:rsidRPr="007D37D5" w:rsidRDefault="00F22DFE" w:rsidP="000830F8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2</w:t>
            </w:r>
            <w:r w:rsidR="00083465">
              <w:t>:</w:t>
            </w:r>
          </w:p>
          <w:p w:rsidR="00F22DFE" w:rsidRPr="007D37D5" w:rsidRDefault="00F22DFE" w:rsidP="002B7E75">
            <w:pPr>
              <w:ind w:left="-108" w:right="-108"/>
            </w:pPr>
            <w:r w:rsidRPr="007D37D5">
              <w:t>25.12.2017-15.01.2018; 09.01.2018-25.01.2018</w:t>
            </w:r>
          </w:p>
          <w:p w:rsidR="00F22DFE" w:rsidRPr="007D37D5" w:rsidRDefault="00F22DFE" w:rsidP="00456B93">
            <w:pPr>
              <w:ind w:left="-108" w:right="-108"/>
              <w:rPr>
                <w:lang w:val="en-US"/>
              </w:rPr>
            </w:pPr>
          </w:p>
        </w:tc>
        <w:tc>
          <w:tcPr>
            <w:tcW w:w="1134" w:type="dxa"/>
          </w:tcPr>
          <w:p w:rsidR="00F22DFE" w:rsidRPr="007D37D5" w:rsidRDefault="00F22DFE" w:rsidP="00DA68E9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1</w:t>
            </w:r>
            <w:r w:rsidR="00083465">
              <w:t>:</w:t>
            </w:r>
          </w:p>
          <w:p w:rsidR="00F22DFE" w:rsidRPr="007D37D5" w:rsidRDefault="00F22DFE" w:rsidP="007D37D5">
            <w:pPr>
              <w:ind w:left="-108" w:right="-108"/>
            </w:pPr>
            <w:r w:rsidRPr="007D37D5">
              <w:t>09.04.2018 -09.05.2018</w:t>
            </w:r>
          </w:p>
        </w:tc>
        <w:tc>
          <w:tcPr>
            <w:tcW w:w="1134" w:type="dxa"/>
          </w:tcPr>
          <w:p w:rsidR="000E6056" w:rsidRDefault="000E6056" w:rsidP="000E6056">
            <w:pPr>
              <w:ind w:left="-108" w:right="-108"/>
            </w:pPr>
            <w:r w:rsidRPr="007D37D5">
              <w:t>Базове</w:t>
            </w:r>
            <w:r w:rsidRPr="007D37D5">
              <w:rPr>
                <w:lang w:val="en-US"/>
              </w:rPr>
              <w:t xml:space="preserve"> </w:t>
            </w:r>
            <w:r w:rsidRPr="007D37D5">
              <w:t>– 1</w:t>
            </w:r>
            <w:r w:rsidR="00083465">
              <w:t>:</w:t>
            </w:r>
          </w:p>
          <w:p w:rsidR="00083465" w:rsidRDefault="00083465" w:rsidP="000E6056">
            <w:pPr>
              <w:ind w:left="-108" w:right="-108"/>
            </w:pPr>
            <w:r>
              <w:t>03.09.2018-28.09.2018</w:t>
            </w:r>
          </w:p>
          <w:p w:rsidR="00083465" w:rsidRPr="007D37D5" w:rsidRDefault="00083465" w:rsidP="000E6056">
            <w:pPr>
              <w:ind w:left="-108" w:right="-108"/>
            </w:pPr>
          </w:p>
          <w:p w:rsidR="00F22DFE" w:rsidRPr="007D37D5" w:rsidRDefault="00F22DFE" w:rsidP="007D37D5">
            <w:pPr>
              <w:ind w:left="-108" w:right="-108"/>
            </w:pPr>
          </w:p>
        </w:tc>
      </w:tr>
      <w:tr w:rsidR="00F22DFE" w:rsidRPr="007D37D5" w:rsidTr="00F22DFE">
        <w:trPr>
          <w:trHeight w:val="345"/>
        </w:trPr>
        <w:tc>
          <w:tcPr>
            <w:tcW w:w="5142" w:type="dxa"/>
            <w:vMerge/>
          </w:tcPr>
          <w:p w:rsidR="00F22DFE" w:rsidRPr="00810564" w:rsidRDefault="00F22DFE" w:rsidP="00DE6231">
            <w:pPr>
              <w:rPr>
                <w:sz w:val="26"/>
                <w:szCs w:val="28"/>
              </w:rPr>
            </w:pPr>
          </w:p>
        </w:tc>
        <w:tc>
          <w:tcPr>
            <w:tcW w:w="1275" w:type="dxa"/>
          </w:tcPr>
          <w:p w:rsidR="00F22DFE" w:rsidRPr="007D37D5" w:rsidRDefault="00F22DFE" w:rsidP="001D17CD">
            <w:pPr>
              <w:ind w:left="-108" w:right="-108"/>
            </w:pPr>
            <w:r w:rsidRPr="007D37D5">
              <w:t>Повторне</w:t>
            </w:r>
            <w:r w:rsidRPr="007D37D5">
              <w:rPr>
                <w:lang w:val="en-US"/>
              </w:rPr>
              <w:t xml:space="preserve"> –</w:t>
            </w:r>
            <w:r w:rsidRPr="007D37D5">
              <w:t xml:space="preserve"> </w:t>
            </w:r>
            <w:r w:rsidR="000E6056" w:rsidRPr="007D37D5">
              <w:t>2</w:t>
            </w:r>
          </w:p>
          <w:p w:rsidR="00F22DFE" w:rsidRPr="007D37D5" w:rsidRDefault="00F22DFE" w:rsidP="002D2955">
            <w:pPr>
              <w:ind w:left="-108" w:right="-108"/>
            </w:pPr>
            <w:r w:rsidRPr="007D37D5">
              <w:t>01.03.2018-25.03.2018</w:t>
            </w:r>
            <w:r w:rsidR="007D37D5" w:rsidRPr="007D37D5">
              <w:t>;</w:t>
            </w:r>
          </w:p>
          <w:p w:rsidR="007D37D5" w:rsidRPr="007D37D5" w:rsidRDefault="007D37D5" w:rsidP="002D2955">
            <w:pPr>
              <w:ind w:left="-108" w:right="-108"/>
            </w:pPr>
            <w:r w:rsidRPr="007D37D5">
              <w:t>01-08.2018-30.08.2018</w:t>
            </w:r>
          </w:p>
        </w:tc>
        <w:tc>
          <w:tcPr>
            <w:tcW w:w="1134" w:type="dxa"/>
          </w:tcPr>
          <w:p w:rsidR="00F22DFE" w:rsidRPr="007D37D5" w:rsidRDefault="00F22DFE" w:rsidP="00D84B38">
            <w:pPr>
              <w:ind w:left="-108" w:right="-108"/>
            </w:pPr>
            <w:r w:rsidRPr="007D37D5">
              <w:t>Повторне</w:t>
            </w:r>
            <w:r w:rsidR="007D37D5">
              <w:t>-</w:t>
            </w:r>
            <w:r w:rsidRPr="007D37D5">
              <w:t xml:space="preserve"> 1</w:t>
            </w:r>
            <w:r w:rsidR="007D37D5">
              <w:t>:</w:t>
            </w:r>
          </w:p>
          <w:p w:rsidR="00F22DFE" w:rsidRPr="007D37D5" w:rsidRDefault="00F22DFE" w:rsidP="009F2BF5">
            <w:pPr>
              <w:ind w:left="-108" w:right="-108"/>
            </w:pPr>
            <w:r w:rsidRPr="007D37D5">
              <w:t>01.03.2018-25.03.2018</w:t>
            </w:r>
          </w:p>
        </w:tc>
        <w:tc>
          <w:tcPr>
            <w:tcW w:w="1134" w:type="dxa"/>
          </w:tcPr>
          <w:p w:rsidR="00F22DFE" w:rsidRPr="007D37D5" w:rsidRDefault="00F22DFE" w:rsidP="00BF650D">
            <w:pPr>
              <w:ind w:left="-108" w:right="-108"/>
              <w:jc w:val="center"/>
            </w:pPr>
            <w:r w:rsidRPr="007D37D5">
              <w:t>_</w:t>
            </w:r>
          </w:p>
        </w:tc>
        <w:tc>
          <w:tcPr>
            <w:tcW w:w="1134" w:type="dxa"/>
          </w:tcPr>
          <w:p w:rsidR="007D37D5" w:rsidRPr="007D37D5" w:rsidRDefault="000E6056" w:rsidP="007D37D5">
            <w:pPr>
              <w:ind w:left="-108" w:right="-108"/>
            </w:pPr>
            <w:r w:rsidRPr="007D37D5">
              <w:t>Повторне</w:t>
            </w:r>
            <w:r w:rsidR="007D37D5">
              <w:t>-</w:t>
            </w:r>
            <w:r w:rsidR="007D37D5" w:rsidRPr="007D37D5">
              <w:t>1:</w:t>
            </w:r>
          </w:p>
          <w:p w:rsidR="000E6056" w:rsidRPr="007D37D5" w:rsidRDefault="007D37D5" w:rsidP="000E6056">
            <w:pPr>
              <w:ind w:left="-108" w:right="-108"/>
            </w:pPr>
            <w:r w:rsidRPr="007D37D5">
              <w:t>01.08.2018-30.08.2018</w:t>
            </w:r>
          </w:p>
          <w:p w:rsidR="00F22DFE" w:rsidRPr="007D37D5" w:rsidRDefault="00F22DFE" w:rsidP="00BF650D">
            <w:pPr>
              <w:ind w:left="-108" w:right="-108"/>
              <w:jc w:val="center"/>
            </w:pPr>
          </w:p>
        </w:tc>
      </w:tr>
      <w:tr w:rsidR="00F22DFE" w:rsidRPr="007D37D5" w:rsidTr="00083465">
        <w:trPr>
          <w:trHeight w:val="128"/>
        </w:trPr>
        <w:tc>
          <w:tcPr>
            <w:tcW w:w="5142" w:type="dxa"/>
            <w:vMerge/>
          </w:tcPr>
          <w:p w:rsidR="00F22DFE" w:rsidRPr="00810564" w:rsidRDefault="00F22DFE" w:rsidP="00F73124">
            <w:pPr>
              <w:rPr>
                <w:sz w:val="26"/>
                <w:szCs w:val="28"/>
              </w:rPr>
            </w:pPr>
          </w:p>
        </w:tc>
        <w:tc>
          <w:tcPr>
            <w:tcW w:w="1275" w:type="dxa"/>
          </w:tcPr>
          <w:p w:rsidR="00F22DFE" w:rsidRPr="007D37D5" w:rsidRDefault="00F22DFE" w:rsidP="005D26F5">
            <w:pPr>
              <w:ind w:left="-108" w:right="-108"/>
              <w:rPr>
                <w:lang w:val="en-US"/>
              </w:rPr>
            </w:pPr>
            <w:r w:rsidRPr="007D37D5">
              <w:t>Періодичне</w:t>
            </w:r>
            <w:r w:rsidRPr="007D37D5">
              <w:rPr>
                <w:lang w:val="en-US"/>
              </w:rPr>
              <w:t xml:space="preserve"> -</w:t>
            </w:r>
            <w:r w:rsidR="000E6056" w:rsidRPr="007D37D5">
              <w:t>4</w:t>
            </w:r>
            <w:r w:rsidRPr="007D37D5">
              <w:t xml:space="preserve"> 01.03.2018-20.03.2018</w:t>
            </w:r>
            <w:r w:rsidRPr="007D37D5">
              <w:rPr>
                <w:lang w:val="en-US"/>
              </w:rPr>
              <w:t>;</w:t>
            </w:r>
          </w:p>
          <w:p w:rsidR="00F22DFE" w:rsidRPr="007D37D5" w:rsidRDefault="00F22DFE" w:rsidP="003259B3">
            <w:pPr>
              <w:ind w:left="-108" w:right="-108"/>
              <w:rPr>
                <w:color w:val="000000"/>
              </w:rPr>
            </w:pPr>
            <w:r w:rsidRPr="007D37D5">
              <w:rPr>
                <w:color w:val="000000"/>
              </w:rPr>
              <w:t xml:space="preserve">01.05.2018 </w:t>
            </w:r>
            <w:r w:rsidRPr="007D37D5">
              <w:rPr>
                <w:color w:val="000000"/>
                <w:lang w:val="en-US"/>
              </w:rPr>
              <w:t>-</w:t>
            </w:r>
            <w:r w:rsidRPr="007D37D5">
              <w:rPr>
                <w:color w:val="000000"/>
              </w:rPr>
              <w:t xml:space="preserve"> 31.05.2018;</w:t>
            </w:r>
          </w:p>
          <w:p w:rsidR="00F22DFE" w:rsidRPr="007D37D5" w:rsidRDefault="00F22DFE" w:rsidP="003259B3">
            <w:pPr>
              <w:ind w:left="-108" w:right="-108"/>
            </w:pPr>
            <w:r w:rsidRPr="007D37D5">
              <w:t>11.06.2018-  25.06.2018</w:t>
            </w:r>
            <w:r w:rsidR="00AB3F19" w:rsidRPr="007D37D5">
              <w:t>;</w:t>
            </w:r>
          </w:p>
          <w:p w:rsidR="00AB3F19" w:rsidRPr="007D37D5" w:rsidRDefault="00AB3F19" w:rsidP="003259B3">
            <w:pPr>
              <w:ind w:left="-108" w:right="-108"/>
              <w:rPr>
                <w:lang w:val="en-US"/>
              </w:rPr>
            </w:pPr>
            <w:r w:rsidRPr="007D37D5">
              <w:t>15.07.2018- 15.08. 2018</w:t>
            </w:r>
          </w:p>
        </w:tc>
        <w:tc>
          <w:tcPr>
            <w:tcW w:w="1134" w:type="dxa"/>
          </w:tcPr>
          <w:p w:rsidR="000E6056" w:rsidRPr="007D37D5" w:rsidRDefault="00F22DFE" w:rsidP="009E012B">
            <w:pPr>
              <w:ind w:left="-108" w:right="-108"/>
            </w:pPr>
            <w:r w:rsidRPr="007D37D5">
              <w:t>Період</w:t>
            </w:r>
            <w:r w:rsidR="007D37D5">
              <w:t>.</w:t>
            </w:r>
            <w:r w:rsidRPr="007D37D5">
              <w:rPr>
                <w:lang w:val="en-US"/>
              </w:rPr>
              <w:t xml:space="preserve"> -</w:t>
            </w:r>
            <w:r w:rsidRPr="007D37D5">
              <w:t>1</w:t>
            </w:r>
            <w:r w:rsidR="007D37D5">
              <w:t>:</w:t>
            </w:r>
            <w:r w:rsidRPr="007D37D5">
              <w:t xml:space="preserve"> </w:t>
            </w:r>
          </w:p>
          <w:p w:rsidR="00F22DFE" w:rsidRPr="007D37D5" w:rsidRDefault="00F22DFE" w:rsidP="009E012B">
            <w:pPr>
              <w:ind w:left="-108" w:right="-108"/>
            </w:pPr>
            <w:r w:rsidRPr="007D37D5">
              <w:t>01.03.2018-20.03.2018</w:t>
            </w:r>
          </w:p>
        </w:tc>
        <w:tc>
          <w:tcPr>
            <w:tcW w:w="1134" w:type="dxa"/>
          </w:tcPr>
          <w:p w:rsidR="00F22DFE" w:rsidRPr="007D37D5" w:rsidRDefault="00F22DFE" w:rsidP="00F73124">
            <w:pPr>
              <w:ind w:left="-108" w:right="-108"/>
              <w:rPr>
                <w:color w:val="000000"/>
              </w:rPr>
            </w:pPr>
            <w:r w:rsidRPr="007D37D5">
              <w:t>Період</w:t>
            </w:r>
            <w:r w:rsidR="007D37D5">
              <w:t>.-</w:t>
            </w:r>
            <w:r w:rsidRPr="007D37D5">
              <w:rPr>
                <w:lang w:val="en-US"/>
              </w:rPr>
              <w:t xml:space="preserve"> </w:t>
            </w:r>
            <w:r w:rsidRPr="007D37D5">
              <w:t>2</w:t>
            </w:r>
            <w:r w:rsidR="007D37D5">
              <w:t>:</w:t>
            </w:r>
          </w:p>
          <w:p w:rsidR="00F22DFE" w:rsidRPr="007D37D5" w:rsidRDefault="00F22DFE" w:rsidP="005D26F5">
            <w:pPr>
              <w:ind w:left="-108" w:right="-108"/>
              <w:rPr>
                <w:color w:val="000000"/>
              </w:rPr>
            </w:pPr>
            <w:r w:rsidRPr="007D37D5">
              <w:rPr>
                <w:color w:val="000000"/>
              </w:rPr>
              <w:t xml:space="preserve">01.05.2018 </w:t>
            </w:r>
            <w:r w:rsidRPr="007D37D5">
              <w:rPr>
                <w:color w:val="000000"/>
                <w:lang w:val="en-US"/>
              </w:rPr>
              <w:t>-</w:t>
            </w:r>
            <w:r w:rsidRPr="007D37D5">
              <w:rPr>
                <w:color w:val="000000"/>
              </w:rPr>
              <w:t xml:space="preserve"> 31.05.2018;</w:t>
            </w:r>
          </w:p>
          <w:p w:rsidR="00F22DFE" w:rsidRPr="007D37D5" w:rsidRDefault="00F22DFE" w:rsidP="00302EB5">
            <w:pPr>
              <w:ind w:left="-108" w:right="-108"/>
            </w:pPr>
            <w:r w:rsidRPr="007D37D5">
              <w:t>11.06.2018-  25.06.2018</w:t>
            </w:r>
          </w:p>
        </w:tc>
        <w:tc>
          <w:tcPr>
            <w:tcW w:w="1134" w:type="dxa"/>
          </w:tcPr>
          <w:p w:rsidR="00F22DFE" w:rsidRPr="007D37D5" w:rsidRDefault="000E6056" w:rsidP="00F73124">
            <w:pPr>
              <w:ind w:left="-108" w:right="-108"/>
            </w:pPr>
            <w:r w:rsidRPr="007D37D5">
              <w:t>Період</w:t>
            </w:r>
            <w:r w:rsidR="007D37D5">
              <w:t>.</w:t>
            </w:r>
            <w:r w:rsidRPr="007D37D5">
              <w:rPr>
                <w:lang w:val="en-US"/>
              </w:rPr>
              <w:t>-</w:t>
            </w:r>
            <w:r w:rsidRPr="007D37D5">
              <w:t>1</w:t>
            </w:r>
            <w:r w:rsidR="007D37D5">
              <w:t>:</w:t>
            </w:r>
          </w:p>
          <w:p w:rsidR="00AB3F19" w:rsidRPr="007D37D5" w:rsidRDefault="00AB3F19" w:rsidP="00AB3F19">
            <w:pPr>
              <w:ind w:left="-108" w:right="-108"/>
            </w:pPr>
            <w:r w:rsidRPr="007D37D5">
              <w:t>15.07.2018- 15.08. 2018</w:t>
            </w:r>
          </w:p>
        </w:tc>
      </w:tr>
    </w:tbl>
    <w:p w:rsidR="00ED3902" w:rsidRDefault="00ED3902" w:rsidP="00ED3902">
      <w:pPr>
        <w:ind w:firstLine="709"/>
        <w:jc w:val="both"/>
        <w:rPr>
          <w:sz w:val="28"/>
          <w:szCs w:val="28"/>
        </w:rPr>
        <w:sectPr w:rsidR="00ED3902" w:rsidSect="00AF0405">
          <w:pgSz w:w="11906" w:h="16838"/>
          <w:pgMar w:top="899" w:right="567" w:bottom="719" w:left="1701" w:header="709" w:footer="709" w:gutter="0"/>
          <w:cols w:space="708"/>
          <w:docGrid w:linePitch="360"/>
        </w:sectPr>
      </w:pPr>
    </w:p>
    <w:p w:rsidR="0032464B" w:rsidRPr="0032464B" w:rsidRDefault="002D4971" w:rsidP="0032464B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="0032464B" w:rsidRPr="0032464B">
        <w:rPr>
          <w:sz w:val="22"/>
          <w:szCs w:val="22"/>
        </w:rPr>
        <w:t>одаток 2</w:t>
      </w:r>
    </w:p>
    <w:p w:rsidR="0032464B" w:rsidRDefault="0032464B" w:rsidP="0032464B">
      <w:pPr>
        <w:ind w:firstLine="709"/>
        <w:jc w:val="both"/>
        <w:rPr>
          <w:sz w:val="24"/>
          <w:szCs w:val="24"/>
        </w:rPr>
      </w:pPr>
      <w:r w:rsidRPr="0032464B">
        <w:rPr>
          <w:sz w:val="24"/>
          <w:szCs w:val="24"/>
        </w:rPr>
        <w:t xml:space="preserve">Форма № 1. Перегляд регуляторних актів за </w:t>
      </w:r>
      <w:r w:rsidR="00B934E7" w:rsidRPr="00B934E7">
        <w:rPr>
          <w:spacing w:val="1"/>
          <w:sz w:val="24"/>
          <w:szCs w:val="24"/>
        </w:rPr>
        <w:t xml:space="preserve">І-ІІІ квартал </w:t>
      </w:r>
      <w:r w:rsidR="00B934E7" w:rsidRPr="00B934E7">
        <w:rPr>
          <w:b/>
          <w:spacing w:val="1"/>
          <w:sz w:val="24"/>
          <w:szCs w:val="24"/>
        </w:rPr>
        <w:t xml:space="preserve"> </w:t>
      </w:r>
      <w:r w:rsidRPr="00B934E7">
        <w:rPr>
          <w:sz w:val="24"/>
          <w:szCs w:val="24"/>
        </w:rPr>
        <w:t>2018</w:t>
      </w:r>
      <w:r w:rsidRPr="0032464B">
        <w:rPr>
          <w:sz w:val="24"/>
          <w:szCs w:val="24"/>
        </w:rPr>
        <w:t xml:space="preserve"> року</w:t>
      </w:r>
    </w:p>
    <w:tbl>
      <w:tblPr>
        <w:tblStyle w:val="a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32464B" w:rsidTr="007E4A21">
        <w:tc>
          <w:tcPr>
            <w:tcW w:w="15418" w:type="dxa"/>
            <w:gridSpan w:val="6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м. Дніпро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</w:t>
            </w:r>
          </w:p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Розробник регуляторного акта</w:t>
            </w:r>
          </w:p>
        </w:tc>
        <w:tc>
          <w:tcPr>
            <w:tcW w:w="3101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Назва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  <w:r>
              <w:rPr>
                <w:sz w:val="24"/>
                <w:szCs w:val="24"/>
              </w:rPr>
              <w:t xml:space="preserve">  </w:t>
            </w:r>
            <w:r w:rsidRPr="0032464B">
              <w:rPr>
                <w:sz w:val="24"/>
                <w:szCs w:val="24"/>
              </w:rPr>
              <w:t>- відповідає;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464B">
              <w:rPr>
                <w:sz w:val="24"/>
                <w:szCs w:val="24"/>
              </w:rPr>
              <w:t>- потребує внесення змін;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2464B">
              <w:rPr>
                <w:sz w:val="24"/>
                <w:szCs w:val="24"/>
              </w:rPr>
              <w:t>- потребує скасування</w:t>
            </w:r>
          </w:p>
        </w:tc>
        <w:tc>
          <w:tcPr>
            <w:tcW w:w="212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Pr="00A96B57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>ішення виконкому міської ради від 10.10.2012 № 1124 «Про встановлення вартості надання Комунальним підприємством «Бюро обліку майнових прав та діяльності з нерухомістю» Дніпропетровської міської ради послуг з виконання технічних дій, пов`язаних з наданням інформаційних довідок та витягів з Реєстру об`єктів права комунальної власності територіальної громади міста Дніпропет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ровс</w:t>
            </w:r>
            <w:r>
              <w:rPr>
                <w:sz w:val="24"/>
                <w:szCs w:val="24"/>
              </w:rPr>
              <w:t xml:space="preserve">ька» </w:t>
            </w: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совно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внести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Pr="0032464B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399 стосовно предмету регулю-вання – як індивідуально-правовий акт, не регуляторний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>ішення виконкому міської ради від 21.08.2013 № 325 «Про затвердження вартості господарських послуг, які надаються Комунальним підпри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ємством «Бюро обліку майнових прав та діяль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ності з нерухомістю» Дніпропетровської міської ради»</w:t>
            </w:r>
          </w:p>
          <w:p w:rsidR="002D4971" w:rsidRPr="00A96B57" w:rsidRDefault="002D4971" w:rsidP="007E4A21">
            <w:pPr>
              <w:ind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совно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внести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Pr="0032464B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399 стосовно предмету регулю-вання – як індивідуально-правовий акт, не регуляторний</w:t>
            </w:r>
          </w:p>
        </w:tc>
      </w:tr>
      <w:tr w:rsidR="003A6E32" w:rsidRPr="0032464B" w:rsidTr="007E4A21">
        <w:tc>
          <w:tcPr>
            <w:tcW w:w="469" w:type="dxa"/>
          </w:tcPr>
          <w:p w:rsidR="003A6E32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3A6E32" w:rsidRPr="00A96B57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73796E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73796E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Інспекція з питань благоустрою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 міської ради  від 27.06.2012 №</w:t>
            </w:r>
            <w:r w:rsidRPr="0032464B">
              <w:rPr>
                <w:color w:val="000000"/>
                <w:sz w:val="24"/>
                <w:szCs w:val="24"/>
              </w:rPr>
              <w:t xml:space="preserve"> 26/25 «Про затвердження Порядку здійснення заходів з контролю за утриманням у належному стані, збере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женням, відновленням та упорядкуванням об`єктів благоустрою міста 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 xml:space="preserve">петровська з урахуванням особливостей їх використання»              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32464B">
              <w:rPr>
                <w:sz w:val="24"/>
                <w:szCs w:val="24"/>
              </w:rPr>
              <w:t xml:space="preserve">з метою приведення діючого нормативно-правового акта у відповідність до </w:t>
            </w:r>
            <w:r w:rsidRPr="001601FD">
              <w:rPr>
                <w:sz w:val="24"/>
                <w:szCs w:val="24"/>
              </w:rPr>
              <w:t>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2D4971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Рішенням від 23.05.2018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>№ 40/32 внесено зміни у нерегуля</w:t>
            </w:r>
            <w:r w:rsidR="00D3186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>торній частині</w:t>
            </w:r>
          </w:p>
          <w:p w:rsidR="002138BE" w:rsidRDefault="002138BE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38BE" w:rsidRDefault="002138BE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38BE" w:rsidRPr="00AD5E12" w:rsidRDefault="002138BE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транспорту та транспортної інфраструк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тури Дніпровської 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keepLines/>
              <w:spacing w:before="100" w:beforeAutospacing="1" w:afterAutospacing="1" w:line="240" w:lineRule="atLeast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28.05.2013 № 197 «Про затвердження Умов перевезення та організації проведення конкурсу з перевезення пасажирів на міських автобусних марш-рутах загального користу-вання у м. Дніпро-петровську»</w:t>
            </w:r>
          </w:p>
        </w:tc>
        <w:tc>
          <w:tcPr>
            <w:tcW w:w="2977" w:type="dxa"/>
          </w:tcPr>
          <w:p w:rsidR="00B22644" w:rsidRDefault="002D4971" w:rsidP="00F865BA">
            <w:pPr>
              <w:jc w:val="center"/>
              <w:rPr>
                <w:sz w:val="26"/>
                <w:szCs w:val="26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</w:t>
            </w:r>
            <w:r w:rsidRPr="009712DD">
              <w:rPr>
                <w:sz w:val="24"/>
                <w:szCs w:val="24"/>
              </w:rPr>
              <w:t>забезпечення якісного транспортного обслуговування населення міста, недопущення монополізації на ринку пасажирських перевезень, визначення умов з організації перевезення пасажирів на міських автобусних маршрутах у м. Дніпрі</w:t>
            </w:r>
            <w:r w:rsidRPr="00226813">
              <w:rPr>
                <w:sz w:val="26"/>
                <w:szCs w:val="26"/>
              </w:rPr>
              <w:t xml:space="preserve"> </w:t>
            </w:r>
          </w:p>
          <w:p w:rsidR="009F1894" w:rsidRPr="0032464B" w:rsidRDefault="009F1894" w:rsidP="00F86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4971" w:rsidRPr="0032464B" w:rsidRDefault="002D4971" w:rsidP="004D39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2D4971" w:rsidRPr="000760A3" w:rsidRDefault="002D4971" w:rsidP="004D3975">
            <w:pPr>
              <w:jc w:val="center"/>
              <w:rPr>
                <w:color w:val="000000"/>
                <w:sz w:val="24"/>
                <w:szCs w:val="24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 xml:space="preserve">Рішенням від 22.05.2018 № 353 </w:t>
            </w:r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2D4971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28.08.2013 № 399 «Про організацію та проведення конкурсу щодо визначення виконавців послуг з вивезення побутових відходів у </w:t>
            </w:r>
            <w:r>
              <w:rPr>
                <w:sz w:val="24"/>
                <w:szCs w:val="24"/>
              </w:rPr>
              <w:t xml:space="preserve">                  </w:t>
            </w:r>
            <w:r w:rsidRPr="0032464B">
              <w:rPr>
                <w:sz w:val="24"/>
                <w:szCs w:val="24"/>
              </w:rPr>
              <w:t>м. Дніпрі за територіальним принципом»</w:t>
            </w:r>
          </w:p>
          <w:p w:rsidR="009F1894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За ініціативою регуляторного органу, який прийняв РА  з метою приведення діючого нормативно-правового акта у відповідність до 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BB39FE" w:rsidRPr="00F752AE" w:rsidRDefault="002D4971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</w:pPr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>Рішенням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 xml:space="preserve"> від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B39FE" w:rsidRPr="00F752AE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22.05.2018 № 416</w:t>
            </w:r>
            <w:r w:rsidR="00486192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;</w:t>
            </w:r>
          </w:p>
          <w:p w:rsidR="000A6BFF" w:rsidRDefault="00BB39FE" w:rsidP="00BB39FE">
            <w:pPr>
              <w:keepNext/>
              <w:jc w:val="center"/>
              <w:outlineLvl w:val="1"/>
              <w:rPr>
                <w:rStyle w:val="CharacterStyle1"/>
                <w:spacing w:val="3"/>
                <w:sz w:val="24"/>
                <w:lang w:eastAsia="uk-UA"/>
              </w:rPr>
            </w:pPr>
            <w:r w:rsidRPr="00F752AE">
              <w:rPr>
                <w:rStyle w:val="CharacterStyle1"/>
                <w:spacing w:val="3"/>
                <w:sz w:val="24"/>
                <w:lang w:eastAsia="uk-UA"/>
              </w:rPr>
              <w:t>19.06.2018 № 559</w:t>
            </w:r>
            <w:r w:rsidR="00486192">
              <w:rPr>
                <w:rStyle w:val="CharacterStyle1"/>
                <w:spacing w:val="3"/>
                <w:sz w:val="24"/>
                <w:lang w:eastAsia="uk-UA"/>
              </w:rPr>
              <w:t>;</w:t>
            </w:r>
            <w:r>
              <w:rPr>
                <w:rStyle w:val="CharacterStyle1"/>
                <w:spacing w:val="3"/>
                <w:sz w:val="24"/>
                <w:lang w:eastAsia="uk-UA"/>
              </w:rPr>
              <w:t xml:space="preserve"> </w:t>
            </w:r>
          </w:p>
          <w:p w:rsidR="00B22644" w:rsidRPr="0032464B" w:rsidRDefault="000A6BFF" w:rsidP="00BB39F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Style w:val="CharacterStyle1"/>
                <w:spacing w:val="3"/>
                <w:sz w:val="24"/>
                <w:lang w:eastAsia="uk-UA"/>
              </w:rPr>
              <w:t xml:space="preserve">04.09.2018 № 888 </w:t>
            </w:r>
            <w:r w:rsidR="002D4971"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 зміни у нерегуляторній частині</w:t>
            </w:r>
          </w:p>
        </w:tc>
      </w:tr>
      <w:tr w:rsidR="009F1894" w:rsidRPr="0032464B" w:rsidTr="007E4A21">
        <w:tc>
          <w:tcPr>
            <w:tcW w:w="469" w:type="dxa"/>
          </w:tcPr>
          <w:p w:rsidR="009F1894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9F1894" w:rsidRPr="0032464B" w:rsidRDefault="009F1894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9F1894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1894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F1894" w:rsidRPr="0032464B" w:rsidRDefault="009F1894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F1894" w:rsidRPr="00BB39FE" w:rsidRDefault="009F1894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9F1894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32464B">
              <w:rPr>
                <w:sz w:val="24"/>
                <w:szCs w:val="24"/>
              </w:rPr>
              <w:t xml:space="preserve">економіки, фінансів та міського бюджету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AA47B4" w:rsidP="00486192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 xml:space="preserve">Проект </w:t>
            </w:r>
            <w:r w:rsidR="00336364">
              <w:rPr>
                <w:sz w:val="24"/>
                <w:szCs w:val="24"/>
              </w:rPr>
              <w:t xml:space="preserve">нового </w:t>
            </w:r>
            <w:r w:rsidRPr="00CC7C28">
              <w:rPr>
                <w:sz w:val="24"/>
                <w:szCs w:val="24"/>
              </w:rPr>
              <w:t xml:space="preserve">рішення </w:t>
            </w:r>
            <w:r w:rsidR="00336364">
              <w:rPr>
                <w:sz w:val="24"/>
                <w:szCs w:val="24"/>
              </w:rPr>
              <w:t xml:space="preserve">стосовно предмету регулю-вання </w:t>
            </w:r>
            <w:r w:rsidRPr="00CC7C28">
              <w:rPr>
                <w:sz w:val="24"/>
                <w:szCs w:val="24"/>
              </w:rPr>
              <w:t>оприлюд</w:t>
            </w:r>
            <w:r w:rsidR="00336364">
              <w:rPr>
                <w:sz w:val="24"/>
                <w:szCs w:val="24"/>
              </w:rPr>
              <w:t>-</w:t>
            </w:r>
            <w:r w:rsidRPr="00CC7C28">
              <w:rPr>
                <w:sz w:val="24"/>
                <w:szCs w:val="24"/>
              </w:rPr>
              <w:t>нено 2</w:t>
            </w:r>
            <w:r w:rsidR="00336364">
              <w:rPr>
                <w:sz w:val="24"/>
                <w:szCs w:val="24"/>
              </w:rPr>
              <w:t>2</w:t>
            </w:r>
            <w:r w:rsidRPr="00CC7C28">
              <w:rPr>
                <w:sz w:val="24"/>
                <w:szCs w:val="24"/>
              </w:rPr>
              <w:t>.0</w:t>
            </w:r>
            <w:r w:rsidR="00336364">
              <w:rPr>
                <w:sz w:val="24"/>
                <w:szCs w:val="24"/>
              </w:rPr>
              <w:t>5</w:t>
            </w:r>
            <w:r w:rsidRPr="00CC7C28">
              <w:rPr>
                <w:sz w:val="24"/>
                <w:szCs w:val="24"/>
              </w:rPr>
              <w:t>.201</w:t>
            </w:r>
            <w:r w:rsidR="00336364">
              <w:rPr>
                <w:sz w:val="24"/>
                <w:szCs w:val="24"/>
              </w:rPr>
              <w:t>8</w:t>
            </w:r>
            <w:r w:rsidRPr="00CC7C28">
              <w:rPr>
                <w:sz w:val="24"/>
                <w:szCs w:val="24"/>
              </w:rPr>
              <w:t xml:space="preserve"> </w:t>
            </w:r>
            <w:r w:rsidR="00F865BA" w:rsidRPr="00CC7C28">
              <w:rPr>
                <w:sz w:val="24"/>
                <w:szCs w:val="24"/>
              </w:rPr>
              <w:t>на веб-сайті місь</w:t>
            </w:r>
            <w:r w:rsidR="00F865BA">
              <w:rPr>
                <w:sz w:val="24"/>
                <w:szCs w:val="24"/>
              </w:rPr>
              <w:t>-</w:t>
            </w:r>
            <w:r w:rsidR="00F865BA" w:rsidRPr="00CC7C28">
              <w:rPr>
                <w:sz w:val="24"/>
                <w:szCs w:val="24"/>
              </w:rPr>
              <w:t xml:space="preserve">кої ради у </w:t>
            </w:r>
            <w:r w:rsidR="005010F3" w:rsidRPr="00CC7C28">
              <w:rPr>
                <w:sz w:val="24"/>
                <w:szCs w:val="24"/>
              </w:rPr>
              <w:t xml:space="preserve"> </w:t>
            </w:r>
            <w:r w:rsidR="00486192">
              <w:rPr>
                <w:sz w:val="24"/>
                <w:szCs w:val="24"/>
              </w:rPr>
              <w:t xml:space="preserve">розділі </w:t>
            </w:r>
            <w:r w:rsidR="005010F3" w:rsidRPr="00CC7C28">
              <w:rPr>
                <w:sz w:val="24"/>
                <w:szCs w:val="24"/>
              </w:rPr>
              <w:t xml:space="preserve">«Регуляторна політика». </w:t>
            </w:r>
          </w:p>
          <w:p w:rsidR="0027329E" w:rsidRDefault="005010F3" w:rsidP="00486192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одяться</w:t>
            </w:r>
            <w:r w:rsidRPr="00CC7C28">
              <w:rPr>
                <w:sz w:val="24"/>
                <w:szCs w:val="24"/>
              </w:rPr>
              <w:t xml:space="preserve"> регуляторні процедури, згідно з </w:t>
            </w:r>
            <w:r>
              <w:rPr>
                <w:sz w:val="24"/>
                <w:szCs w:val="24"/>
              </w:rPr>
              <w:t>З</w:t>
            </w:r>
            <w:r w:rsidRPr="00CC7C28">
              <w:rPr>
                <w:sz w:val="24"/>
                <w:szCs w:val="24"/>
              </w:rPr>
              <w:t>аконом</w:t>
            </w:r>
          </w:p>
          <w:p w:rsidR="00486192" w:rsidRDefault="00486192" w:rsidP="00486192">
            <w:pPr>
              <w:jc w:val="center"/>
              <w:rPr>
                <w:sz w:val="24"/>
                <w:szCs w:val="24"/>
              </w:rPr>
            </w:pPr>
          </w:p>
          <w:p w:rsidR="00486192" w:rsidRPr="0032464B" w:rsidRDefault="00486192" w:rsidP="004861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486192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464B" w:rsidRDefault="0032464B" w:rsidP="0048619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21.05.2014 № 247 «Про встановлення гранич-них тарифів на послуги з перевезення пасажирів та багажу на міських авто-бусних маршрутах загаль-ного користування у м. Дні-пропетровську»</w:t>
            </w:r>
          </w:p>
          <w:p w:rsidR="00486192" w:rsidRPr="0032464B" w:rsidRDefault="00486192" w:rsidP="0048619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486192" w:rsidRDefault="007A7C31" w:rsidP="0048619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Рішенням викон</w:t>
            </w:r>
            <w:r w:rsidR="00486192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кому міської ради від 20.02.2018 </w:t>
            </w:r>
          </w:p>
          <w:p w:rsidR="00486192" w:rsidRDefault="007A7C31" w:rsidP="0048619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158 в</w:t>
            </w:r>
            <w:r w:rsidR="0032464B" w:rsidRPr="0032464B">
              <w:rPr>
                <w:bCs/>
                <w:iCs/>
                <w:sz w:val="24"/>
                <w:szCs w:val="24"/>
              </w:rPr>
              <w:t xml:space="preserve">изнано таким, що </w:t>
            </w:r>
          </w:p>
          <w:p w:rsidR="0032464B" w:rsidRPr="0032464B" w:rsidRDefault="0032464B" w:rsidP="00486192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2464B">
              <w:rPr>
                <w:bCs/>
                <w:iCs/>
                <w:sz w:val="24"/>
                <w:szCs w:val="24"/>
              </w:rPr>
              <w:t>втрат</w:t>
            </w:r>
            <w:r w:rsidR="00486192">
              <w:rPr>
                <w:bCs/>
                <w:iCs/>
                <w:sz w:val="24"/>
                <w:szCs w:val="24"/>
              </w:rPr>
              <w:t>и</w:t>
            </w:r>
            <w:r w:rsidRPr="0032464B">
              <w:rPr>
                <w:bCs/>
                <w:iCs/>
                <w:sz w:val="24"/>
                <w:szCs w:val="24"/>
              </w:rPr>
              <w:t>ло чинність</w:t>
            </w:r>
            <w:r w:rsidR="007A7C31"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 w:rsidR="007A7C31">
              <w:rPr>
                <w:bCs/>
                <w:iCs/>
                <w:sz w:val="24"/>
                <w:szCs w:val="24"/>
              </w:rPr>
              <w:t>р</w:t>
            </w:r>
            <w:r w:rsidR="007A7C31" w:rsidRPr="0032464B">
              <w:rPr>
                <w:sz w:val="24"/>
                <w:szCs w:val="24"/>
              </w:rPr>
              <w:t>ішення виконко</w:t>
            </w:r>
            <w:r w:rsidR="00486192">
              <w:rPr>
                <w:sz w:val="24"/>
                <w:szCs w:val="24"/>
              </w:rPr>
              <w:t>м</w:t>
            </w:r>
            <w:r w:rsidR="007A7C31" w:rsidRPr="0032464B">
              <w:rPr>
                <w:sz w:val="24"/>
                <w:szCs w:val="24"/>
              </w:rPr>
              <w:t xml:space="preserve">у міської ради від 21.05.2014 № 247 </w:t>
            </w: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486192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житлового господарства Дніпровської міської ради</w:t>
            </w:r>
          </w:p>
        </w:tc>
        <w:tc>
          <w:tcPr>
            <w:tcW w:w="3101" w:type="dxa"/>
          </w:tcPr>
          <w:p w:rsidR="0032464B" w:rsidRPr="0032464B" w:rsidRDefault="0032464B" w:rsidP="00AA7195">
            <w:pPr>
              <w:spacing w:before="100" w:beforeAutospacing="1" w:afterAutospacing="1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27.04.2017 № 240 «Про питання розміщення елементів телекомуніка-ційних мереж у житлових будинках (гуртожитках) комунальної власності територіальної громади </w:t>
            </w:r>
            <w:r>
              <w:rPr>
                <w:sz w:val="24"/>
                <w:szCs w:val="24"/>
              </w:rPr>
              <w:t xml:space="preserve">     </w:t>
            </w:r>
            <w:r w:rsidRPr="0032464B">
              <w:rPr>
                <w:sz w:val="24"/>
                <w:szCs w:val="24"/>
              </w:rPr>
              <w:t>м. Дніпра»</w:t>
            </w:r>
            <w:r w:rsidR="00AA71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1F3B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1F3B1F" w:rsidRDefault="007A7C31" w:rsidP="001F3B1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32464B" w:rsidRDefault="007A7C31" w:rsidP="00AB3F19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виконкому міської ради від 20.02.2018 № 135 в</w:t>
            </w:r>
            <w:r w:rsidR="00AB3F19">
              <w:rPr>
                <w:bCs/>
                <w:iCs/>
                <w:sz w:val="24"/>
                <w:szCs w:val="24"/>
              </w:rPr>
              <w:t>изнано та</w:t>
            </w:r>
            <w:r w:rsidRPr="0032464B">
              <w:rPr>
                <w:bCs/>
                <w:iCs/>
                <w:sz w:val="24"/>
                <w:szCs w:val="24"/>
              </w:rPr>
              <w:t>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 xml:space="preserve">ішення виконкому міської ради від 27.04.2017 № 240 </w:t>
            </w:r>
          </w:p>
          <w:p w:rsidR="00486192" w:rsidRDefault="00486192" w:rsidP="00AB3F19">
            <w:pPr>
              <w:keepNext/>
              <w:jc w:val="center"/>
              <w:outlineLvl w:val="1"/>
              <w:rPr>
                <w:sz w:val="24"/>
                <w:szCs w:val="24"/>
              </w:rPr>
            </w:pPr>
          </w:p>
          <w:p w:rsidR="00486192" w:rsidRPr="0032464B" w:rsidRDefault="00486192" w:rsidP="00AB3F19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86192" w:rsidRPr="0032464B" w:rsidTr="00A72C0A">
        <w:tc>
          <w:tcPr>
            <w:tcW w:w="469" w:type="dxa"/>
          </w:tcPr>
          <w:p w:rsidR="00486192" w:rsidRDefault="00486192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486192" w:rsidRPr="0032464B" w:rsidRDefault="00486192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486192" w:rsidRPr="0032464B" w:rsidRDefault="00486192" w:rsidP="00AA7195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86192" w:rsidRPr="0032464B" w:rsidRDefault="00486192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86192" w:rsidRPr="0032464B" w:rsidRDefault="00486192" w:rsidP="001F3B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86192" w:rsidRDefault="00486192" w:rsidP="001F3B1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486192" w:rsidRPr="0032464B" w:rsidTr="00F62172">
        <w:tc>
          <w:tcPr>
            <w:tcW w:w="469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bCs/>
                <w:sz w:val="24"/>
                <w:szCs w:val="24"/>
              </w:rPr>
              <w:t>Департамент торгівлі та реклами Дніпровської міської ради</w:t>
            </w:r>
            <w:r w:rsidRPr="003246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міської ради </w:t>
            </w:r>
            <w:r>
              <w:rPr>
                <w:sz w:val="24"/>
                <w:szCs w:val="24"/>
              </w:rPr>
              <w:t xml:space="preserve">       </w:t>
            </w:r>
            <w:r w:rsidRPr="0032464B">
              <w:rPr>
                <w:sz w:val="24"/>
                <w:szCs w:val="24"/>
              </w:rPr>
              <w:t xml:space="preserve">від 29.05.2013 № 39/35 «Про затвердження Порядку передачі об’єктів (елементів) благоустрою </w:t>
            </w:r>
            <w:r>
              <w:rPr>
                <w:sz w:val="24"/>
                <w:szCs w:val="24"/>
              </w:rPr>
              <w:t xml:space="preserve">          </w:t>
            </w:r>
            <w:r w:rsidRPr="0032464B">
              <w:rPr>
                <w:sz w:val="24"/>
                <w:szCs w:val="24"/>
              </w:rPr>
              <w:t>м. Дніпропетровська в тимчасове використання не за їх цільовим призна</w:t>
            </w:r>
            <w:r>
              <w:rPr>
                <w:sz w:val="24"/>
                <w:szCs w:val="24"/>
              </w:rPr>
              <w:t>-</w:t>
            </w:r>
            <w:r w:rsidRPr="0032464B">
              <w:rPr>
                <w:sz w:val="24"/>
                <w:szCs w:val="24"/>
              </w:rPr>
              <w:t>ченням при реалізації потреб для об’єктів сфери споживчого ринку та сфери послуг»</w:t>
            </w:r>
          </w:p>
        </w:tc>
        <w:tc>
          <w:tcPr>
            <w:tcW w:w="2977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РА, з метою </w:t>
            </w:r>
            <w:r w:rsidRPr="009712DD">
              <w:rPr>
                <w:sz w:val="24"/>
                <w:szCs w:val="24"/>
              </w:rPr>
              <w:t>упорядкування розміщення тимчасових споруд та засобів пересувної мережі</w:t>
            </w:r>
          </w:p>
        </w:tc>
        <w:tc>
          <w:tcPr>
            <w:tcW w:w="3685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486192" w:rsidP="00F6217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486192" w:rsidRDefault="00486192" w:rsidP="00F62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міської ради від 19.09.2018            № 96/35 в</w:t>
            </w:r>
            <w:r w:rsidRPr="0032464B">
              <w:rPr>
                <w:bCs/>
                <w:iCs/>
                <w:sz w:val="24"/>
                <w:szCs w:val="24"/>
              </w:rPr>
              <w:t>изнано таким,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 xml:space="preserve">ішення міської ради від 29.05.2013 </w:t>
            </w:r>
          </w:p>
          <w:p w:rsidR="00486192" w:rsidRPr="005010F3" w:rsidRDefault="00486192" w:rsidP="00F621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 39/35</w:t>
            </w:r>
          </w:p>
        </w:tc>
      </w:tr>
    </w:tbl>
    <w:p w:rsidR="00B53FAC" w:rsidRPr="00486192" w:rsidRDefault="00ED3902" w:rsidP="00ED3902">
      <w:pPr>
        <w:ind w:firstLine="709"/>
        <w:jc w:val="both"/>
        <w:rPr>
          <w:sz w:val="26"/>
          <w:szCs w:val="26"/>
        </w:rPr>
      </w:pPr>
      <w:r w:rsidRPr="00486192">
        <w:rPr>
          <w:sz w:val="26"/>
          <w:szCs w:val="26"/>
        </w:rPr>
        <w:t>Форма №</w:t>
      </w:r>
      <w:r w:rsidR="00444115" w:rsidRPr="00486192">
        <w:rPr>
          <w:sz w:val="26"/>
          <w:szCs w:val="26"/>
          <w:lang w:val="ru-RU"/>
        </w:rPr>
        <w:t xml:space="preserve"> </w:t>
      </w:r>
      <w:r w:rsidRPr="00486192">
        <w:rPr>
          <w:sz w:val="26"/>
          <w:szCs w:val="26"/>
        </w:rPr>
        <w:t>2. Прийняття регуляторних актів</w:t>
      </w:r>
      <w:r w:rsidR="000E67BB" w:rsidRPr="00486192">
        <w:rPr>
          <w:sz w:val="26"/>
          <w:szCs w:val="26"/>
        </w:rPr>
        <w:t xml:space="preserve"> </w:t>
      </w:r>
      <w:r w:rsidR="000E67BB" w:rsidRPr="00B934E7">
        <w:rPr>
          <w:sz w:val="26"/>
          <w:szCs w:val="26"/>
        </w:rPr>
        <w:t xml:space="preserve">за </w:t>
      </w:r>
      <w:r w:rsidR="00B934E7" w:rsidRPr="00B934E7">
        <w:rPr>
          <w:spacing w:val="1"/>
          <w:sz w:val="26"/>
          <w:szCs w:val="26"/>
        </w:rPr>
        <w:t xml:space="preserve">І-ІІІ квартал </w:t>
      </w:r>
      <w:r w:rsidR="00B934E7" w:rsidRPr="00B934E7">
        <w:rPr>
          <w:b/>
          <w:spacing w:val="1"/>
          <w:sz w:val="26"/>
          <w:szCs w:val="26"/>
        </w:rPr>
        <w:t xml:space="preserve"> </w:t>
      </w:r>
      <w:r w:rsidR="000E67BB" w:rsidRPr="00B934E7">
        <w:rPr>
          <w:sz w:val="26"/>
          <w:szCs w:val="26"/>
        </w:rPr>
        <w:t>201</w:t>
      </w:r>
      <w:r w:rsidR="00C37FE0" w:rsidRPr="00B934E7">
        <w:rPr>
          <w:sz w:val="26"/>
          <w:szCs w:val="26"/>
          <w:lang w:val="ru-RU"/>
        </w:rPr>
        <w:t>8</w:t>
      </w:r>
      <w:r w:rsidR="000E67BB" w:rsidRPr="00486192">
        <w:rPr>
          <w:sz w:val="26"/>
          <w:szCs w:val="26"/>
        </w:rPr>
        <w:t xml:space="preserve"> року</w:t>
      </w:r>
    </w:p>
    <w:p w:rsidR="00ED3902" w:rsidRPr="00297333" w:rsidRDefault="00ED3902" w:rsidP="00ED3902">
      <w:pPr>
        <w:ind w:firstLine="709"/>
        <w:jc w:val="both"/>
        <w:rPr>
          <w:sz w:val="10"/>
          <w:szCs w:val="10"/>
        </w:rPr>
      </w:pPr>
    </w:p>
    <w:tbl>
      <w:tblPr>
        <w:tblStyle w:val="a5"/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105"/>
        <w:gridCol w:w="5398"/>
        <w:gridCol w:w="3059"/>
        <w:gridCol w:w="2386"/>
      </w:tblGrid>
      <w:tr w:rsidR="00ED3902" w:rsidRPr="009166F9" w:rsidTr="00531A1A">
        <w:trPr>
          <w:trHeight w:val="276"/>
        </w:trPr>
        <w:tc>
          <w:tcPr>
            <w:tcW w:w="15454" w:type="dxa"/>
            <w:gridSpan w:val="5"/>
          </w:tcPr>
          <w:p w:rsidR="004C435D" w:rsidRPr="00D4774E" w:rsidRDefault="00A23338" w:rsidP="0032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D3902" w:rsidRPr="00D4774E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</w:p>
        </w:tc>
      </w:tr>
      <w:tr w:rsidR="00ED3902" w:rsidRPr="00117181" w:rsidTr="004B4CBF">
        <w:trPr>
          <w:trHeight w:val="573"/>
        </w:trPr>
        <w:tc>
          <w:tcPr>
            <w:tcW w:w="506" w:type="dxa"/>
          </w:tcPr>
          <w:p w:rsidR="00ED3902" w:rsidRPr="00117181" w:rsidRDefault="00EE0CA5" w:rsidP="0053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05" w:type="dxa"/>
          </w:tcPr>
          <w:p w:rsidR="00117181" w:rsidRDefault="00ED3902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Розробник </w:t>
            </w:r>
          </w:p>
          <w:p w:rsidR="00ED3902" w:rsidRPr="00117181" w:rsidRDefault="00ED3902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регуляторного акт</w:t>
            </w:r>
            <w:r w:rsidR="00FA4BC8" w:rsidRPr="00117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98" w:type="dxa"/>
          </w:tcPr>
          <w:p w:rsidR="00117181" w:rsidRDefault="00ED3902" w:rsidP="000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 xml:space="preserve">Назва та реквізити регуляторних актів, </w:t>
            </w:r>
          </w:p>
          <w:p w:rsidR="00ED3902" w:rsidRPr="00117181" w:rsidRDefault="00ED3902" w:rsidP="000F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прийнятих у регіоні</w:t>
            </w:r>
          </w:p>
        </w:tc>
        <w:tc>
          <w:tcPr>
            <w:tcW w:w="3059" w:type="dxa"/>
          </w:tcPr>
          <w:p w:rsidR="00ED3902" w:rsidRPr="00117181" w:rsidRDefault="00ED3902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Реквізити реєстрації в органах юстиції</w:t>
            </w:r>
          </w:p>
        </w:tc>
        <w:tc>
          <w:tcPr>
            <w:tcW w:w="2386" w:type="dxa"/>
          </w:tcPr>
          <w:p w:rsidR="00ED3902" w:rsidRPr="00117181" w:rsidRDefault="00ED3902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Дата набрання чинності</w:t>
            </w:r>
          </w:p>
        </w:tc>
      </w:tr>
      <w:tr w:rsidR="00ED3902" w:rsidRPr="009166F9" w:rsidTr="004B4CBF">
        <w:trPr>
          <w:trHeight w:val="385"/>
        </w:trPr>
        <w:tc>
          <w:tcPr>
            <w:tcW w:w="506" w:type="dxa"/>
          </w:tcPr>
          <w:p w:rsidR="00ED3902" w:rsidRPr="002E0321" w:rsidRDefault="002E0321" w:rsidP="0028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ED3902" w:rsidRPr="002E0321" w:rsidRDefault="008C2BF1" w:rsidP="008C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Департамент житлового господарства Дніпровської міської ради</w:t>
            </w:r>
          </w:p>
        </w:tc>
        <w:tc>
          <w:tcPr>
            <w:tcW w:w="5398" w:type="dxa"/>
          </w:tcPr>
          <w:p w:rsidR="00ED3902" w:rsidRDefault="008C2BF1" w:rsidP="008C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міської ради від 20.02.2018 </w:t>
            </w:r>
            <w:r w:rsidR="00E5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135 «Про порядок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4B4CBF" w:rsidRPr="002E0321" w:rsidRDefault="004B4CBF" w:rsidP="008C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ED3902" w:rsidRPr="002E0321" w:rsidRDefault="00282DFB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8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0565F4"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01.03.2018 </w:t>
            </w:r>
            <w:r w:rsidR="004861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7646" w:rsidRPr="000565F4" w:rsidRDefault="001748DE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F4" w:rsidRPr="000565F4">
              <w:rPr>
                <w:rFonts w:ascii="Times New Roman" w:hAnsi="Times New Roman" w:cs="Times New Roman"/>
                <w:sz w:val="24"/>
                <w:szCs w:val="24"/>
              </w:rPr>
              <w:t>оприлюднен</w:t>
            </w:r>
            <w:r w:rsidR="004B4CB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0565F4"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 у газеті «Наше місто»</w:t>
            </w:r>
          </w:p>
        </w:tc>
      </w:tr>
      <w:tr w:rsidR="004B4CBF" w:rsidRPr="009166F9" w:rsidTr="004B4CBF">
        <w:trPr>
          <w:trHeight w:val="132"/>
        </w:trPr>
        <w:tc>
          <w:tcPr>
            <w:tcW w:w="506" w:type="dxa"/>
          </w:tcPr>
          <w:p w:rsidR="004B4CBF" w:rsidRPr="007F3C76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4B4CBF" w:rsidRPr="002E0321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транспорту та транс-портної інфраструктури Дніпровської міської ради</w:t>
            </w:r>
          </w:p>
        </w:tc>
        <w:tc>
          <w:tcPr>
            <w:tcW w:w="5398" w:type="dxa"/>
          </w:tcPr>
          <w:p w:rsidR="004B4CBF" w:rsidRDefault="004B4CBF" w:rsidP="004B4C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E032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Рішення виконавчого комітету міської ради від 20.02.2018  № 158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  <w:p w:rsidR="004B4CBF" w:rsidRPr="002E0321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B4CBF" w:rsidRPr="002E0321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01.03.2018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B4CBF" w:rsidRPr="000565F4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>оприлюднен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 у газеті «Наше місто»</w:t>
            </w:r>
          </w:p>
        </w:tc>
      </w:tr>
      <w:tr w:rsidR="002E0321" w:rsidRPr="009166F9" w:rsidTr="004B4CBF">
        <w:trPr>
          <w:trHeight w:val="385"/>
        </w:trPr>
        <w:tc>
          <w:tcPr>
            <w:tcW w:w="506" w:type="dxa"/>
          </w:tcPr>
          <w:p w:rsidR="002E0321" w:rsidRPr="002E0321" w:rsidRDefault="002E0321" w:rsidP="00282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2E0321" w:rsidRPr="002E0321" w:rsidRDefault="002E0321" w:rsidP="008C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роботі з активами </w:t>
            </w: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5398" w:type="dxa"/>
          </w:tcPr>
          <w:p w:rsidR="00C649C4" w:rsidRDefault="002E0321" w:rsidP="00C6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2E032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ішення виконавчого комітету міської ради від 20.02.2018 № 173 «</w:t>
            </w: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порядок обстеження стану житлових/нежитлових будинків, </w:t>
            </w:r>
          </w:p>
          <w:p w:rsidR="002E0321" w:rsidRDefault="002E0321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житло</w:t>
            </w:r>
            <w:r w:rsidR="00C649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их/нежитлових приміщень, квартир та житлових/нежитлових приміщень гуртожитків комунальної власност</w:t>
            </w:r>
            <w:r w:rsidR="00C649C4">
              <w:rPr>
                <w:rFonts w:ascii="Times New Roman" w:hAnsi="Times New Roman" w:cs="Times New Roman"/>
                <w:sz w:val="24"/>
                <w:szCs w:val="24"/>
              </w:rPr>
              <w:t>і територіальної громади міста»</w:t>
            </w:r>
          </w:p>
          <w:p w:rsidR="004B4CBF" w:rsidRPr="002E0321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E0321" w:rsidRPr="002E0321" w:rsidRDefault="002E0321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01.03.2018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65F4" w:rsidRPr="002E0321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>оприлюднен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 у газеті «Наше місто»</w:t>
            </w:r>
          </w:p>
        </w:tc>
      </w:tr>
      <w:tr w:rsidR="004B4CBF" w:rsidRPr="004B4CBF" w:rsidTr="004B4CBF">
        <w:trPr>
          <w:trHeight w:val="274"/>
        </w:trPr>
        <w:tc>
          <w:tcPr>
            <w:tcW w:w="506" w:type="dxa"/>
          </w:tcPr>
          <w:p w:rsidR="004B4CBF" w:rsidRPr="004B4CBF" w:rsidRDefault="004B4CBF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05" w:type="dxa"/>
          </w:tcPr>
          <w:p w:rsidR="004B4CBF" w:rsidRPr="004B4CBF" w:rsidRDefault="004B4CBF" w:rsidP="008C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4B4CBF" w:rsidRPr="004B4CBF" w:rsidRDefault="004B4CBF" w:rsidP="00C649C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4B4CB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59" w:type="dxa"/>
          </w:tcPr>
          <w:p w:rsidR="004B4CBF" w:rsidRPr="004B4CBF" w:rsidRDefault="004B4CBF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4B4CBF" w:rsidRPr="004B4CBF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B1F" w:rsidRPr="001F3B1F" w:rsidTr="004B4CBF">
        <w:trPr>
          <w:trHeight w:val="385"/>
        </w:trPr>
        <w:tc>
          <w:tcPr>
            <w:tcW w:w="506" w:type="dxa"/>
          </w:tcPr>
          <w:p w:rsidR="001F3B1F" w:rsidRPr="001F3B1F" w:rsidRDefault="001F3B1F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5" w:type="dxa"/>
          </w:tcPr>
          <w:p w:rsidR="001F3B1F" w:rsidRPr="001F3B1F" w:rsidRDefault="001F3B1F" w:rsidP="001F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5398" w:type="dxa"/>
          </w:tcPr>
          <w:p w:rsidR="001F3B1F" w:rsidRPr="001F3B1F" w:rsidRDefault="001F3B1F" w:rsidP="001F3B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F3B1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Рішення міської ради від 19.09.2018 № </w:t>
            </w:r>
            <w:r w:rsidR="0030010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96/35</w:t>
            </w:r>
            <w:r w:rsidRPr="001F3B1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3B1F" w:rsidRPr="001F3B1F" w:rsidRDefault="001F3B1F" w:rsidP="001F3B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F3B1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передачі об’єктів (елементів) благоустрою </w:t>
            </w:r>
            <w:r w:rsidRPr="001F3B1F">
              <w:rPr>
                <w:sz w:val="24"/>
                <w:szCs w:val="24"/>
              </w:rPr>
              <w:br/>
            </w: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>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      </w:r>
          </w:p>
        </w:tc>
        <w:tc>
          <w:tcPr>
            <w:tcW w:w="3059" w:type="dxa"/>
          </w:tcPr>
          <w:p w:rsidR="001F3B1F" w:rsidRPr="001F3B1F" w:rsidRDefault="001F3B1F" w:rsidP="0028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6" w:type="dxa"/>
          </w:tcPr>
          <w:p w:rsidR="004B4CBF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27</w:t>
            </w:r>
            <w:r w:rsidRPr="001F3B1F">
              <w:rPr>
                <w:rFonts w:ascii="Times New Roman" w:hAnsi="Times New Roman" w:cs="Times New Roman"/>
                <w:sz w:val="24"/>
                <w:szCs w:val="24"/>
              </w:rPr>
              <w:t xml:space="preserve">.09.2018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B4CBF" w:rsidRDefault="004B4CBF" w:rsidP="004B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>оприлюднен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565F4">
              <w:rPr>
                <w:rFonts w:ascii="Times New Roman" w:hAnsi="Times New Roman" w:cs="Times New Roman"/>
                <w:sz w:val="24"/>
                <w:szCs w:val="24"/>
              </w:rPr>
              <w:t xml:space="preserve"> у газеті «Наше місто»</w:t>
            </w:r>
          </w:p>
          <w:p w:rsidR="001F3B1F" w:rsidRPr="001F3B1F" w:rsidRDefault="001F3B1F" w:rsidP="001F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0F0" w:rsidRPr="00297333" w:rsidRDefault="008550F0" w:rsidP="00ED3902">
      <w:pPr>
        <w:ind w:firstLine="709"/>
        <w:jc w:val="both"/>
        <w:rPr>
          <w:sz w:val="10"/>
          <w:szCs w:val="10"/>
        </w:rPr>
      </w:pPr>
    </w:p>
    <w:p w:rsidR="008C1349" w:rsidRDefault="008C1349" w:rsidP="00ED3902">
      <w:pPr>
        <w:ind w:firstLine="709"/>
        <w:jc w:val="both"/>
        <w:rPr>
          <w:sz w:val="28"/>
          <w:szCs w:val="28"/>
        </w:rPr>
      </w:pPr>
    </w:p>
    <w:p w:rsidR="00B53FAC" w:rsidRDefault="00ED3902" w:rsidP="00ED3902">
      <w:pPr>
        <w:ind w:firstLine="709"/>
        <w:jc w:val="both"/>
        <w:rPr>
          <w:sz w:val="28"/>
          <w:szCs w:val="28"/>
        </w:rPr>
      </w:pPr>
      <w:r w:rsidRPr="009F1894">
        <w:rPr>
          <w:sz w:val="28"/>
          <w:szCs w:val="28"/>
        </w:rPr>
        <w:t>Форма №</w:t>
      </w:r>
      <w:r w:rsidR="00444115" w:rsidRPr="009F1894">
        <w:rPr>
          <w:sz w:val="28"/>
          <w:szCs w:val="28"/>
          <w:lang w:val="ru-RU"/>
        </w:rPr>
        <w:t xml:space="preserve"> </w:t>
      </w:r>
      <w:r w:rsidRPr="009F1894">
        <w:rPr>
          <w:sz w:val="28"/>
          <w:szCs w:val="28"/>
        </w:rPr>
        <w:t>3. Відстеження результативності</w:t>
      </w:r>
      <w:r w:rsidR="000E67BB" w:rsidRPr="009F1894">
        <w:rPr>
          <w:sz w:val="28"/>
          <w:szCs w:val="28"/>
        </w:rPr>
        <w:t xml:space="preserve"> за </w:t>
      </w:r>
      <w:r w:rsidR="00727FAC" w:rsidRPr="00BF3BA5">
        <w:rPr>
          <w:spacing w:val="1"/>
          <w:sz w:val="28"/>
          <w:szCs w:val="28"/>
        </w:rPr>
        <w:t>І-ІІІ квартал</w:t>
      </w:r>
      <w:r w:rsidR="00727FAC">
        <w:rPr>
          <w:spacing w:val="1"/>
          <w:szCs w:val="28"/>
        </w:rPr>
        <w:t xml:space="preserve"> </w:t>
      </w:r>
      <w:r w:rsidR="00727FAC" w:rsidRPr="00874BA1">
        <w:rPr>
          <w:b/>
          <w:spacing w:val="1"/>
          <w:sz w:val="28"/>
          <w:szCs w:val="28"/>
        </w:rPr>
        <w:t xml:space="preserve"> </w:t>
      </w:r>
      <w:r w:rsidR="00A720E3" w:rsidRPr="009F1894">
        <w:rPr>
          <w:sz w:val="28"/>
          <w:szCs w:val="28"/>
        </w:rPr>
        <w:t>201</w:t>
      </w:r>
      <w:r w:rsidR="00C37FE0" w:rsidRPr="009F1894">
        <w:rPr>
          <w:sz w:val="28"/>
          <w:szCs w:val="28"/>
          <w:lang w:val="ru-RU"/>
        </w:rPr>
        <w:t>8</w:t>
      </w:r>
      <w:r w:rsidR="000E67BB" w:rsidRPr="009F1894">
        <w:rPr>
          <w:sz w:val="28"/>
          <w:szCs w:val="28"/>
        </w:rPr>
        <w:t xml:space="preserve"> року</w:t>
      </w:r>
    </w:p>
    <w:p w:rsidR="008C1349" w:rsidRPr="00FF1E57" w:rsidRDefault="008C1349" w:rsidP="00ED3902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5414" w:type="dxa"/>
        <w:tblLayout w:type="fixed"/>
        <w:tblLook w:val="01E0" w:firstRow="1" w:lastRow="1" w:firstColumn="1" w:lastColumn="1" w:noHBand="0" w:noVBand="0"/>
      </w:tblPr>
      <w:tblGrid>
        <w:gridCol w:w="468"/>
        <w:gridCol w:w="3058"/>
        <w:gridCol w:w="6482"/>
        <w:gridCol w:w="5406"/>
      </w:tblGrid>
      <w:tr w:rsidR="00ED3902" w:rsidRPr="00FF1E57" w:rsidTr="0015444D">
        <w:trPr>
          <w:trHeight w:val="305"/>
        </w:trPr>
        <w:tc>
          <w:tcPr>
            <w:tcW w:w="1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C44DD0" w:rsidRDefault="00A23338" w:rsidP="0015444D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D3902" w:rsidRPr="00D4774E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</w:p>
        </w:tc>
      </w:tr>
      <w:tr w:rsidR="00ED3902" w:rsidRPr="004C435D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2" w:rsidRPr="004C435D" w:rsidRDefault="00EE0CA5" w:rsidP="00EE0CA5">
            <w:pPr>
              <w:ind w:left="-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E" w:rsidRDefault="00FA4BC8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D">
              <w:rPr>
                <w:rFonts w:ascii="Times New Roman" w:hAnsi="Times New Roman" w:cs="Times New Roman"/>
                <w:sz w:val="24"/>
                <w:szCs w:val="24"/>
              </w:rPr>
              <w:t xml:space="preserve">Розробник </w:t>
            </w:r>
          </w:p>
          <w:p w:rsidR="00ED3902" w:rsidRPr="004C435D" w:rsidRDefault="00FA4BC8" w:rsidP="0053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D">
              <w:rPr>
                <w:rFonts w:ascii="Times New Roman" w:hAnsi="Times New Roman" w:cs="Times New Roman"/>
                <w:sz w:val="24"/>
                <w:szCs w:val="24"/>
              </w:rPr>
              <w:t>регуляторного акта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2" w:rsidRDefault="00ED3902" w:rsidP="00531A1A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D">
              <w:rPr>
                <w:rFonts w:ascii="Times New Roman" w:hAnsi="Times New Roman" w:cs="Times New Roman"/>
                <w:sz w:val="24"/>
                <w:szCs w:val="24"/>
              </w:rPr>
              <w:t>Назва та реквізити регуляторних актів, щодо яких проведені заходи з відстеження результативності</w:t>
            </w:r>
          </w:p>
          <w:p w:rsidR="008C1349" w:rsidRPr="004C435D" w:rsidRDefault="008C1349" w:rsidP="00531A1A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5D" w:rsidRPr="004C435D" w:rsidRDefault="00ED3902" w:rsidP="000D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5D">
              <w:rPr>
                <w:rFonts w:ascii="Times New Roman" w:hAnsi="Times New Roman" w:cs="Times New Roman"/>
                <w:sz w:val="24"/>
                <w:szCs w:val="24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CD1FC5" w:rsidRPr="00FF1E57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63ED2" w:rsidRDefault="00CD1FC5" w:rsidP="00CD1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E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73796E" w:rsidRDefault="00CD1FC5" w:rsidP="00A13B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6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A13B52" w:rsidRPr="00A13B52">
              <w:rPr>
                <w:rFonts w:ascii="Times New Roman" w:hAnsi="Times New Roman" w:cs="Times New Roman"/>
                <w:sz w:val="24"/>
                <w:szCs w:val="24"/>
              </w:rPr>
              <w:t>по роботі з активами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Default="00CD1FC5" w:rsidP="00212D5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379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акта - проекту </w:t>
            </w:r>
            <w:r w:rsid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рішення 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викон</w:t>
            </w:r>
            <w:r w:rsid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авчого 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ком</w:t>
            </w:r>
            <w:r w:rsid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ітет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 міської ради «Про затвердження Положення про порядок обстеження стану житлових/нежитлових будинків, житлових/</w:t>
            </w:r>
            <w:r w:rsid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нежитло</w:t>
            </w:r>
            <w:r w:rsidR="00E43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вих приміщень, квартир та житлових/</w:t>
            </w:r>
            <w:r w:rsid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нежитлових примі</w:t>
            </w:r>
            <w:r w:rsidR="00E43BD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13B52" w:rsidRPr="00A13B5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щень гуртожитків комунальної власності територіальної громади міста»</w:t>
            </w:r>
          </w:p>
          <w:p w:rsidR="00B53FAC" w:rsidRPr="0073796E" w:rsidRDefault="00B53FAC" w:rsidP="00212D5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82" w:rsidRDefault="003E0ED6" w:rsidP="00D00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Затвердження проекту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регуляторного акта</w:t>
            </w:r>
            <w:r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відповідного </w:t>
            </w:r>
            <w:r w:rsidR="00211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оложення </w:t>
            </w:r>
            <w:r w:rsidR="00211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сприятиме:</w:t>
            </w:r>
          </w:p>
          <w:p w:rsidR="00211282" w:rsidRDefault="00211282" w:rsidP="00D00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упорядкуванню 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здійснення обстежень Об'єкт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подальшої зміни правового режиму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1282" w:rsidRDefault="00211282" w:rsidP="00D00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підвищенню рівня якості отримання послуг щодо обстеження стану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Об'єкт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ів;</w:t>
            </w:r>
          </w:p>
          <w:p w:rsidR="00CD1FC5" w:rsidRDefault="00211282" w:rsidP="00D00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зменшенню витрат часу суб’єктів господарю</w:t>
            </w:r>
            <w:r w:rsidR="00D00AA4" w:rsidRPr="00D00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3E0ED6" w:rsidRPr="003E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вання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 вимог регулювання</w:t>
            </w:r>
          </w:p>
          <w:p w:rsidR="0015444D" w:rsidRPr="003E0ED6" w:rsidRDefault="0015444D" w:rsidP="00D00AA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FC5" w:rsidRPr="00FF1E57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A63ED2" w:rsidRDefault="00CD1FC5" w:rsidP="00CD1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5" w:rsidRPr="0073796E" w:rsidRDefault="00212D53" w:rsidP="00CD1F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Департамент житлового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господарства Дніпров</w:t>
            </w:r>
            <w:r w:rsidRPr="00117181">
              <w:rPr>
                <w:rFonts w:ascii="Times New Roman" w:hAnsi="Times New Roman" w:cs="Times New Roman"/>
                <w:sz w:val="24"/>
                <w:szCs w:val="24"/>
              </w:rPr>
              <w:t>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5" w:rsidRDefault="00212D53" w:rsidP="00C44D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Базове відстеження результативності проекту регуляторного акта - проекту рішення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виконавчого комітету міської ради  «Про порядок визначення розміру плати за доступ до інфраструктури об’єкта будівництва (житловий фонд, що перебуває у комунальній власності територіальної громади міста)»</w:t>
            </w:r>
          </w:p>
          <w:p w:rsidR="00B53FAC" w:rsidRPr="0073796E" w:rsidRDefault="00B53FAC" w:rsidP="00C44D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B8" w:rsidRDefault="00BA504E" w:rsidP="00B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роекту регуляторного акта</w:t>
            </w:r>
            <w:r w:rsidR="00ED5FB8">
              <w:rPr>
                <w:rFonts w:ascii="Times New Roman" w:hAnsi="Times New Roman" w:cs="Times New Roman"/>
                <w:sz w:val="24"/>
                <w:szCs w:val="24"/>
              </w:rPr>
              <w:t xml:space="preserve"> надасть м</w:t>
            </w: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>ожливість</w:t>
            </w:r>
            <w:r w:rsidR="00ED5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04E" w:rsidRDefault="00ED5FB8" w:rsidP="00B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04E"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суб’єктам господарювання, що здійснюють діяльність на ринку телекомунікацій отримати рівні умови для здійснення будівництва та експлуат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телекомунікаційних мереж,</w:t>
            </w:r>
            <w:r w:rsidR="00BA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04E" w:rsidRPr="00BA504E">
              <w:rPr>
                <w:rFonts w:ascii="Times New Roman" w:hAnsi="Times New Roman" w:cs="Times New Roman"/>
                <w:sz w:val="24"/>
                <w:szCs w:val="24"/>
              </w:rPr>
              <w:t>надавати телекомунікаційні послуги споживачам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високому рівні</w:t>
            </w:r>
            <w:r w:rsidR="00BA504E"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1FC5" w:rsidRDefault="00BA504E" w:rsidP="008C13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04E">
              <w:rPr>
                <w:rFonts w:ascii="Times New Roman" w:hAnsi="Times New Roman" w:cs="Times New Roman"/>
                <w:sz w:val="24"/>
                <w:szCs w:val="24"/>
              </w:rPr>
              <w:t xml:space="preserve">впорядкувати механізм </w:t>
            </w:r>
            <w:r w:rsidRPr="00BA504E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розміру пла</w:t>
            </w:r>
            <w:r w:rsidR="00D00AA4" w:rsidRPr="00D00A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BA504E">
              <w:rPr>
                <w:rFonts w:ascii="Times New Roman" w:hAnsi="Times New Roman" w:cs="Times New Roman"/>
                <w:bCs/>
                <w:sz w:val="24"/>
                <w:szCs w:val="24"/>
              </w:rPr>
              <w:t>ти за доступ до інфраструктури об’єкта будів</w:t>
            </w:r>
            <w:r w:rsidR="00D00AA4" w:rsidRPr="00D00A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BA504E">
              <w:rPr>
                <w:rFonts w:ascii="Times New Roman" w:hAnsi="Times New Roman" w:cs="Times New Roman"/>
                <w:bCs/>
                <w:sz w:val="24"/>
                <w:szCs w:val="24"/>
              </w:rPr>
              <w:t>ництва (житловий фонд, що перебуває у кому</w:t>
            </w:r>
            <w:r w:rsidR="00D00AA4" w:rsidRPr="00D00AA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BA504E">
              <w:rPr>
                <w:rFonts w:ascii="Times New Roman" w:hAnsi="Times New Roman" w:cs="Times New Roman"/>
                <w:bCs/>
                <w:sz w:val="24"/>
                <w:szCs w:val="24"/>
              </w:rPr>
              <w:t>нальній власності територіальної громади міста)</w:t>
            </w:r>
          </w:p>
          <w:p w:rsidR="008C1349" w:rsidRPr="00D00AA4" w:rsidRDefault="008C1349" w:rsidP="008C134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C1349" w:rsidRPr="008C1349" w:rsidTr="008C1349">
        <w:trPr>
          <w:trHeight w:val="4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3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938" w:rsidRPr="00FF1E57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054608" w:rsidRDefault="00054608" w:rsidP="00CD1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6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A36938" w:rsidRDefault="00A36938" w:rsidP="00CD1FC5">
            <w:pPr>
              <w:ind w:left="-108"/>
              <w:jc w:val="center"/>
              <w:rPr>
                <w:sz w:val="24"/>
                <w:szCs w:val="24"/>
              </w:rPr>
            </w:pPr>
            <w:r w:rsidRPr="00A36938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212D53" w:rsidRDefault="00A36938" w:rsidP="00E43BDB">
            <w:pPr>
              <w:jc w:val="both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акта </w:t>
            </w:r>
            <w:r w:rsidR="00E43BD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– проекту рішення міської ради «Про пайову участь замовників у розвитку інфраструктури міста Дніпра»</w:t>
            </w:r>
            <w:r w:rsidRPr="0005460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38" w:rsidRPr="00A36938" w:rsidRDefault="00A36938" w:rsidP="00A3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8">
              <w:rPr>
                <w:rFonts w:ascii="Times New Roman" w:hAnsi="Times New Roman" w:cs="Times New Roman"/>
                <w:sz w:val="24"/>
                <w:szCs w:val="24"/>
              </w:rPr>
              <w:t>Прийняття проекту регуляторного акта надасть можливість:</w:t>
            </w:r>
          </w:p>
          <w:p w:rsidR="00A36938" w:rsidRPr="00A36938" w:rsidRDefault="00A36938" w:rsidP="00A369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8">
              <w:rPr>
                <w:rFonts w:ascii="Times New Roman" w:hAnsi="Times New Roman" w:cs="Times New Roman"/>
                <w:sz w:val="24"/>
                <w:szCs w:val="24"/>
              </w:rPr>
              <w:t>- удосконалити механізм залучення замовників до пайової участі шляхом затвердження Порядку залучення, розрахунку розміру і використання коштів пайової участі (внесків) у розвитку інфраструктури міста Дніпра відповідно до вимог законодавства України;</w:t>
            </w:r>
          </w:p>
          <w:p w:rsidR="00A36938" w:rsidRDefault="00A36938" w:rsidP="00A3693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38">
              <w:rPr>
                <w:rFonts w:ascii="Times New Roman" w:hAnsi="Times New Roman" w:cs="Times New Roman"/>
                <w:sz w:val="24"/>
                <w:szCs w:val="24"/>
              </w:rPr>
              <w:t>- збільшити надходження коштів пайової участі до місцевого бюджету та спрямувати їх на вирішення проблем, пов’язаних з поліпшенням інфраструктури міста, її технічного стану, подальшим оновленням і розвитком</w:t>
            </w:r>
          </w:p>
          <w:p w:rsidR="008C1349" w:rsidRPr="00A36938" w:rsidRDefault="008C1349" w:rsidP="00A369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1F3B1F" w:rsidRPr="00AA300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AA3001" w:rsidP="00CD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1F3B1F" w:rsidP="00CD1FC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01">
              <w:rPr>
                <w:rFonts w:ascii="Times New Roman" w:hAnsi="Times New Roman" w:cs="Times New Roman"/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Pr="00AA3001" w:rsidRDefault="001F3B1F" w:rsidP="007135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13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Базове відстеження результативності проекту регуляторного акта </w:t>
            </w:r>
            <w:r w:rsidRPr="0071358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– </w:t>
            </w:r>
            <w:r w:rsidR="00E63E6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проекту </w:t>
            </w:r>
            <w:r w:rsidRPr="0071358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рішення мі</w:t>
            </w:r>
            <w:r w:rsidR="00300102" w:rsidRPr="0071358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ської ради</w:t>
            </w:r>
            <w:r w:rsidR="00300102" w:rsidRPr="00DE51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A300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</w:t>
            </w:r>
            <w:r w:rsidRPr="00AA300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передачі об’єктів (елементів) благоустрою </w:t>
            </w:r>
            <w:r w:rsidR="00E63E6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A3001">
              <w:rPr>
                <w:rFonts w:ascii="Times New Roman" w:hAnsi="Times New Roman" w:cs="Times New Roman"/>
                <w:sz w:val="24"/>
                <w:szCs w:val="24"/>
              </w:rPr>
              <w:t>м. Дніпра в тимчасове використання не за функціональним призначенням для здійснення господарської діяльності у сфері споживчого ринку та послуг»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1F" w:rsidRDefault="00170101" w:rsidP="00170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101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проекту регуляторного акта надасть можливість </w:t>
            </w:r>
            <w:r w:rsidRPr="0017010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встанов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ити</w:t>
            </w:r>
            <w:r w:rsidRPr="0017010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170101">
              <w:rPr>
                <w:rFonts w:ascii="Times New Roman" w:hAnsi="Times New Roman"/>
                <w:sz w:val="24"/>
                <w:szCs w:val="24"/>
              </w:rPr>
              <w:t>зональн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0101">
              <w:rPr>
                <w:rFonts w:ascii="Times New Roman" w:hAnsi="Times New Roman"/>
                <w:sz w:val="24"/>
                <w:szCs w:val="24"/>
              </w:rPr>
              <w:t xml:space="preserve"> розподілення території міста (історичний центр міста, червоні лінії вулиць, інші території) та застосування диференційованого підходу щодо визначення розміру оплати за тимчасове використання об'єктів (елементів) благоустрою м. Дніпра не за </w:t>
            </w:r>
            <w:r>
              <w:rPr>
                <w:rFonts w:ascii="Times New Roman" w:hAnsi="Times New Roman"/>
                <w:sz w:val="24"/>
                <w:szCs w:val="24"/>
              </w:rPr>
              <w:t>функціональним</w:t>
            </w:r>
            <w:r w:rsidRPr="00170101">
              <w:rPr>
                <w:rFonts w:ascii="Times New Roman" w:hAnsi="Times New Roman"/>
                <w:sz w:val="24"/>
                <w:szCs w:val="24"/>
              </w:rPr>
              <w:t xml:space="preserve"> призначенням для здійснення господарської діяльності у сфері споживчого ринку та послуг, що перебувають у комунальній власності, оплати за зберігання тимчасових споруд у випадку їх зберігання КП «Благоустрій міста» у разі здійснення примусового демонтажу</w:t>
            </w:r>
          </w:p>
          <w:p w:rsidR="008C1349" w:rsidRDefault="008C1349" w:rsidP="00170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1349" w:rsidRPr="00AA3001" w:rsidRDefault="008C1349" w:rsidP="00170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D2" w:rsidRPr="00A63ED2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2" w:rsidRPr="00117181" w:rsidRDefault="00AA3001" w:rsidP="00CD1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D2" w:rsidRPr="00117181" w:rsidRDefault="00BE53D7" w:rsidP="00BE53D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транспорту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>та транспортної інфра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81" w:rsidRPr="00117181" w:rsidRDefault="00212D53" w:rsidP="00212D53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овторне відстеження результативності регуляторного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акта 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рішення Дніпровської міської ради від 21.12.2016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 38/17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«Про затвердження Правил паркування  транспорт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12D5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них засобів на території міста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B" w:rsidRPr="00B8433B" w:rsidRDefault="00B8433B" w:rsidP="00B843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B8433B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Прийняття регуляторного акта </w:t>
            </w:r>
            <w:r w:rsidRPr="00B8433B">
              <w:rPr>
                <w:rFonts w:ascii="Times New Roman" w:hAnsi="Times New Roman" w:cs="Times New Roman"/>
                <w:lang w:val="uk-UA"/>
              </w:rPr>
              <w:t xml:space="preserve">має позитивні наслідки: 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упорядк</w:t>
            </w:r>
            <w:r w:rsidR="00EB278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овано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місц</w:t>
            </w:r>
            <w:r w:rsidR="00EB278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я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для паркування</w:t>
            </w:r>
            <w:r w:rsidR="00EB2787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транспортних засобів; </w:t>
            </w:r>
            <w:r w:rsidRPr="00B8433B">
              <w:rPr>
                <w:rFonts w:ascii="Times New Roman" w:hAnsi="Times New Roman" w:cs="Times New Roman"/>
                <w:lang w:val="uk-UA"/>
              </w:rPr>
              <w:t xml:space="preserve"> підвищ</w:t>
            </w:r>
            <w:r w:rsidR="00EB2787">
              <w:rPr>
                <w:rFonts w:ascii="Times New Roman" w:hAnsi="Times New Roman" w:cs="Times New Roman"/>
                <w:lang w:val="uk-UA"/>
              </w:rPr>
              <w:t>ено дисципліну</w:t>
            </w:r>
            <w:r w:rsidRPr="00B8433B">
              <w:rPr>
                <w:rFonts w:ascii="Times New Roman" w:hAnsi="Times New Roman" w:cs="Times New Roman"/>
                <w:lang w:val="uk-UA"/>
              </w:rPr>
              <w:t xml:space="preserve"> справляння збору за місця для паркування</w:t>
            </w:r>
            <w:r w:rsidR="00ED5FB8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зростання </w:t>
            </w:r>
            <w:r w:rsidR="00ED5FB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його 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надходжень.</w:t>
            </w:r>
          </w:p>
          <w:p w:rsidR="00A63ED2" w:rsidRDefault="00B8433B" w:rsidP="00B843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Впровадження</w:t>
            </w:r>
            <w:r w:rsidRPr="00B8433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B8433B">
              <w:rPr>
                <w:rFonts w:ascii="Times New Roman" w:hAnsi="Times New Roman" w:cs="Times New Roman"/>
                <w:lang w:val="uk-UA"/>
              </w:rPr>
              <w:t xml:space="preserve">Правил слід вважати доцільним та </w:t>
            </w:r>
            <w:r w:rsidR="00486192">
              <w:rPr>
                <w:rFonts w:ascii="Times New Roman" w:hAnsi="Times New Roman" w:cs="Times New Roman"/>
                <w:lang w:val="uk-UA"/>
              </w:rPr>
              <w:t>ефективним</w:t>
            </w:r>
          </w:p>
          <w:p w:rsidR="00486192" w:rsidRPr="00B8433B" w:rsidRDefault="00486192" w:rsidP="00B8433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C1349" w:rsidRPr="008C1349" w:rsidTr="008C1349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34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9" w:rsidRPr="008C1349" w:rsidRDefault="008C1349" w:rsidP="008C134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1349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B7550B" w:rsidRPr="00B7550B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AA3001" w:rsidP="00B7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B7550B" w:rsidP="00B7550B">
            <w:pPr>
              <w:ind w:left="-43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Дніпровської міської ради Лисенко М. О.,</w:t>
            </w:r>
          </w:p>
          <w:p w:rsidR="00B7550B" w:rsidRPr="00B7550B" w:rsidRDefault="00B7550B" w:rsidP="00B7550B">
            <w:pPr>
              <w:ind w:left="-43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550B" w:rsidRPr="00B7550B" w:rsidRDefault="00B7550B" w:rsidP="00B7550B">
            <w:pPr>
              <w:ind w:left="-43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 благоустрою та інфраструктури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0B" w:rsidRPr="00B7550B" w:rsidRDefault="00B7550B" w:rsidP="00F649E5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550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Повторне відстеження результативності регуляторного     акта - рішення міської ради від 13.04.2017 № 72/19 «Про затвердження Правил утримання тварин у домашніх умовах та поводження з домашніми тваринами на території міста Дніпра»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87425E" w:rsidRDefault="0087425E" w:rsidP="00295404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B33">
              <w:rPr>
                <w:rFonts w:ascii="Times New Roman" w:hAnsi="Times New Roman" w:cs="Times New Roman"/>
                <w:color w:val="000000"/>
              </w:rPr>
              <w:t>Регуляторний акт</w:t>
            </w:r>
            <w:r w:rsidRPr="0087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відповідає чинному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давству, сприяє укріпленню принципів мораль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74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ності та гуманності суспільства, упорядкуванню діяльності у сфері утримання домашніх та інших тварин, поліпшенню санітарно-епідеміологічного стану міста Дніпра завдяки зменшенню кількості безпритульних тварин майже на 50 % у порівнянні з 2016 роком за рахунок планових стерилізацій та вакцинацій</w:t>
            </w:r>
          </w:p>
        </w:tc>
      </w:tr>
      <w:tr w:rsidR="00646433" w:rsidRPr="0011718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117181" w:rsidRDefault="00AA3001" w:rsidP="0064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Default="00646433" w:rsidP="006464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роботі </w:t>
            </w:r>
          </w:p>
          <w:p w:rsidR="00646433" w:rsidRPr="00117181" w:rsidRDefault="00646433" w:rsidP="006464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33">
              <w:rPr>
                <w:rFonts w:ascii="Times New Roman" w:hAnsi="Times New Roman" w:cs="Times New Roman"/>
                <w:sz w:val="24"/>
                <w:szCs w:val="24"/>
              </w:rPr>
              <w:t>з активами Дніпровської міської ради.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117181" w:rsidRDefault="00646433" w:rsidP="0029540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464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еріодичне відстеження результативності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4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регуляторного акта - рішення міської ради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643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від 29.02.2012 № 8/21 «Про затвердження Методики розрахунку і порядку використання плати за оренду комунального нерухомого майна»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33" w:rsidRPr="00807F4C" w:rsidRDefault="00AA7195" w:rsidP="006464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Рішення міської ради </w:t>
            </w:r>
            <w:r w:rsidR="00807F4C" w:rsidRPr="00807F4C">
              <w:rPr>
                <w:rFonts w:ascii="Times New Roman" w:hAnsi="Times New Roman" w:cs="Times New Roman"/>
                <w:sz w:val="24"/>
                <w:szCs w:val="24"/>
              </w:rPr>
              <w:t>слід вважати доцільним, обґрунтованим, таким, що забезпечує на сьогодні досягнення цілей його прийняття</w:t>
            </w:r>
          </w:p>
        </w:tc>
      </w:tr>
      <w:tr w:rsidR="00C21B33" w:rsidRPr="0011718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054608" w:rsidRDefault="00AA3001" w:rsidP="0064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646433" w:rsidRDefault="00C21B33" w:rsidP="0064643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транспорту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>та транспортної інфра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3D7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ктури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33" w:rsidRPr="00C21B33" w:rsidRDefault="00C21B33" w:rsidP="00C55C2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21B33">
              <w:rPr>
                <w:rFonts w:ascii="Times New Roman" w:hAnsi="Times New Roman" w:cs="Times New Roman"/>
                <w:color w:val="000000"/>
                <w:lang w:val="uk-UA"/>
              </w:rPr>
              <w:t xml:space="preserve">Періодичне відстеження результативності регуляторного акта – рішення виконавчого комітету </w:t>
            </w:r>
            <w:r w:rsidRPr="00C21B33">
              <w:rPr>
                <w:rStyle w:val="apple-converted-space"/>
                <w:rFonts w:cs="Times New Roman"/>
                <w:color w:val="000000"/>
                <w:lang w:val="uk-UA"/>
              </w:rPr>
              <w:t xml:space="preserve">міської </w:t>
            </w:r>
            <w:r w:rsidRPr="00C21B33">
              <w:rPr>
                <w:rFonts w:ascii="Times New Roman" w:hAnsi="Times New Roman" w:cs="Times New Roman"/>
                <w:color w:val="000000"/>
                <w:lang w:val="uk-UA"/>
              </w:rPr>
              <w:t xml:space="preserve">ради від 28.05.2013 № 197 </w:t>
            </w:r>
            <w:r w:rsidRPr="00C21B33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val="uk-UA"/>
              </w:rPr>
              <w:t>«</w:t>
            </w:r>
            <w:r w:rsidRPr="00C21B33">
              <w:rPr>
                <w:rFonts w:ascii="Times New Roman" w:hAnsi="Times New Roman" w:cs="Times New Roman"/>
                <w:lang w:val="uk-UA"/>
              </w:rPr>
              <w:t>Про затвердження Умов перевезення та організації проведення конкурсу з перевезення пасажирів на міських автобусних маршрутах загального користування у м. Дніпропетровську»</w:t>
            </w:r>
          </w:p>
          <w:p w:rsidR="00C21B33" w:rsidRPr="00C21B33" w:rsidRDefault="00C21B33" w:rsidP="006518BF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C21B33" w:rsidRDefault="00C21B33" w:rsidP="0029540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1B33">
              <w:rPr>
                <w:rFonts w:ascii="Times New Roman" w:hAnsi="Times New Roman" w:cs="Times New Roman"/>
                <w:color w:val="000000"/>
                <w:lang w:val="uk-UA"/>
              </w:rPr>
              <w:t xml:space="preserve">Регуляторний акт </w:t>
            </w:r>
            <w:r w:rsidRPr="00C21B33">
              <w:rPr>
                <w:rFonts w:ascii="Times New Roman" w:hAnsi="Times New Roman" w:cs="Times New Roman"/>
                <w:lang w:val="uk-UA"/>
              </w:rPr>
              <w:t>має в цілому позитивні наслідки</w:t>
            </w:r>
            <w:r>
              <w:rPr>
                <w:rFonts w:ascii="Times New Roman" w:hAnsi="Times New Roman" w:cs="Times New Roman"/>
                <w:lang w:val="uk-UA"/>
              </w:rPr>
              <w:t>, а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ле у зв’язку 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змінами чинного законо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давства в сфері автомобільного пасажирського транспорту регуляторний акт втратив свою актуальність, в результаті чого виникає необхід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ність прийнят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тя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ого 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регуляторн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ого</w:t>
            </w:r>
            <w:r w:rsidRPr="00C21B3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акт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 стосовно предмету регулювання</w:t>
            </w:r>
          </w:p>
        </w:tc>
      </w:tr>
      <w:tr w:rsidR="0085160A" w:rsidRPr="00C55C20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A" w:rsidRPr="00C55C20" w:rsidRDefault="00AA3001" w:rsidP="0064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A" w:rsidRPr="00C55C20" w:rsidRDefault="0085160A" w:rsidP="0085160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0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Департамент забезпечення діяльності виконавчих органів Дніпровської міської ради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92" w:rsidRPr="00C55C20" w:rsidRDefault="0085160A" w:rsidP="00B934E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C20">
              <w:rPr>
                <w:rFonts w:ascii="Times New Roman" w:hAnsi="Times New Roman" w:cs="Times New Roman"/>
                <w:color w:val="000000"/>
                <w:lang w:val="uk-UA"/>
              </w:rPr>
              <w:t>Періодичне відстеження результативності регуляторного акта – рішення</w:t>
            </w:r>
            <w:r w:rsidRPr="00C55C20">
              <w:rPr>
                <w:rFonts w:ascii="Times New Roman" w:hAnsi="Times New Roman" w:cs="Times New Roman"/>
                <w:lang w:val="uk-UA"/>
              </w:rPr>
              <w:t xml:space="preserve"> виконавчого комітету Дніпропетровської міської ради від</w:t>
            </w:r>
            <w:r w:rsidRPr="00C55C20">
              <w:rPr>
                <w:rStyle w:val="a9"/>
                <w:rFonts w:ascii="Times New Roman" w:hAnsi="Times New Roman"/>
                <w:bCs/>
                <w:i w:val="0"/>
                <w:iCs/>
                <w:lang w:val="uk-UA"/>
              </w:rPr>
              <w:t xml:space="preserve"> 28.09.2011 № 1237 </w:t>
            </w:r>
            <w:r w:rsidRPr="00C55C20">
              <w:rPr>
                <w:rFonts w:ascii="Times New Roman" w:hAnsi="Times New Roman" w:cs="Times New Roman"/>
                <w:bCs/>
                <w:lang w:val="uk-UA"/>
              </w:rPr>
              <w:t xml:space="preserve">«Про ціни на  роботи (послуги), </w:t>
            </w:r>
            <w:r w:rsidRPr="00C55C20">
              <w:rPr>
                <w:rFonts w:ascii="Times New Roman" w:hAnsi="Times New Roman" w:cs="Times New Roman"/>
                <w:bCs/>
                <w:spacing w:val="-5"/>
                <w:lang w:val="uk-UA"/>
              </w:rPr>
              <w:t>що виконуються архівним управлінням Дніпропетровської  міської  ради»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42" w:rsidRPr="00C55C20" w:rsidRDefault="002027B4" w:rsidP="009150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C20">
              <w:rPr>
                <w:rFonts w:ascii="Times New Roman" w:hAnsi="Times New Roman" w:cs="Times New Roman"/>
                <w:lang w:val="uk-UA"/>
              </w:rPr>
              <w:t>Прийняття регуляторного акта є доцільним та ефективним, результати реалізації його положень мають позитивну динаміку</w:t>
            </w:r>
          </w:p>
          <w:p w:rsidR="0085160A" w:rsidRPr="00C55C20" w:rsidRDefault="0085160A" w:rsidP="0091504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C3A11" w:rsidRPr="000C3A11" w:rsidTr="00001D0D">
        <w:trPr>
          <w:trHeight w:val="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AA3001" w:rsidP="000C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0C3A11" w:rsidP="000C3A11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1">
              <w:rPr>
                <w:rFonts w:ascii="Times New Roman" w:hAnsi="Times New Roman" w:cs="Times New Roman"/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  <w:p w:rsidR="000C3A11" w:rsidRPr="000C3A11" w:rsidRDefault="000C3A11" w:rsidP="000C3A11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11" w:rsidRPr="000C3A11" w:rsidRDefault="000C3A11" w:rsidP="000C3A11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Періодичне відстеження результативності регуляторного акта – рішення виконавчого комітету </w:t>
            </w:r>
            <w:r w:rsidRPr="000C3A11">
              <w:rPr>
                <w:rStyle w:val="apple-converted-space"/>
                <w:rFonts w:cs="Times New Roman"/>
                <w:color w:val="000000"/>
                <w:sz w:val="24"/>
                <w:szCs w:val="24"/>
              </w:rPr>
              <w:t xml:space="preserve">міської </w:t>
            </w:r>
            <w:r w:rsidRPr="000C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 від </w:t>
            </w:r>
            <w:r w:rsidRPr="000C3A11">
              <w:rPr>
                <w:rFonts w:ascii="Times New Roman" w:hAnsi="Times New Roman" w:cs="Times New Roman"/>
                <w:sz w:val="24"/>
                <w:szCs w:val="24"/>
              </w:rPr>
              <w:t>26.02.2013 № 82 «Про раціональне ведення водного господарства міста»</w:t>
            </w:r>
          </w:p>
          <w:p w:rsidR="000C3A11" w:rsidRPr="000C3A11" w:rsidRDefault="000C3A11" w:rsidP="000C3A1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4" w:rsidRPr="00B63FF4" w:rsidRDefault="00B63FF4" w:rsidP="00B63FF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B63FF4">
              <w:rPr>
                <w:rFonts w:ascii="Times New Roman" w:hAnsi="Times New Roman" w:cs="Times New Roman"/>
                <w:bCs/>
                <w:sz w:val="24"/>
                <w:szCs w:val="24"/>
              </w:rPr>
              <w:t>У цілому, регуляторний акт відповідає чинному законодавству, його впровадження має позитивний результат.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B63FF4">
              <w:rPr>
                <w:rFonts w:ascii="Times New Roman" w:hAnsi="Times New Roman" w:cs="Times New Roman"/>
                <w:bCs/>
                <w:sz w:val="24"/>
                <w:szCs w:val="24"/>
              </w:rPr>
              <w:t>поживачі міста більш економно та раціонально використовують питну воду і сплачують за фактично використані обсяги</w:t>
            </w:r>
          </w:p>
          <w:p w:rsidR="000C3A11" w:rsidRPr="00B63FF4" w:rsidRDefault="00B63FF4" w:rsidP="00B63FF4">
            <w:pPr>
              <w:pStyle w:val="a8"/>
              <w:shd w:val="clear" w:color="auto" w:fill="FFFFFF"/>
              <w:spacing w:before="0" w:beforeAutospacing="0" w:after="0" w:afterAutospacing="0"/>
              <w:ind w:firstLine="6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63FF4">
              <w:rPr>
                <w:bCs/>
                <w:lang w:val="uk-UA"/>
              </w:rPr>
              <w:tab/>
            </w:r>
          </w:p>
        </w:tc>
      </w:tr>
    </w:tbl>
    <w:p w:rsidR="00E43BDB" w:rsidRDefault="00E43BDB" w:rsidP="00FF3C6C">
      <w:pPr>
        <w:jc w:val="both"/>
        <w:rPr>
          <w:sz w:val="28"/>
          <w:szCs w:val="28"/>
        </w:rPr>
      </w:pPr>
    </w:p>
    <w:p w:rsidR="00117181" w:rsidRPr="00FF3C6C" w:rsidRDefault="00C37FE0" w:rsidP="00FF3C6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  <w:r w:rsidR="00C55C20">
        <w:rPr>
          <w:sz w:val="28"/>
          <w:szCs w:val="28"/>
        </w:rPr>
        <w:t xml:space="preserve"> </w:t>
      </w:r>
      <w:r w:rsidR="002D3564" w:rsidRPr="00FF3C6C">
        <w:rPr>
          <w:sz w:val="28"/>
          <w:szCs w:val="28"/>
        </w:rPr>
        <w:t>правового забезпечення</w:t>
      </w:r>
    </w:p>
    <w:p w:rsidR="00486192" w:rsidRDefault="002D3564" w:rsidP="00295404">
      <w:pPr>
        <w:jc w:val="both"/>
        <w:rPr>
          <w:sz w:val="22"/>
          <w:szCs w:val="22"/>
        </w:rPr>
      </w:pPr>
      <w:r w:rsidRPr="00FF3C6C">
        <w:rPr>
          <w:sz w:val="28"/>
          <w:szCs w:val="28"/>
        </w:rPr>
        <w:t>Дніпровської міської ради</w:t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>
        <w:rPr>
          <w:sz w:val="28"/>
          <w:szCs w:val="28"/>
        </w:rPr>
        <w:t xml:space="preserve">      </w:t>
      </w:r>
      <w:r w:rsidR="00FF3C6C" w:rsidRPr="00FF3C6C">
        <w:rPr>
          <w:sz w:val="28"/>
          <w:szCs w:val="28"/>
        </w:rPr>
        <w:t>А. Г. Павлов</w:t>
      </w:r>
    </w:p>
    <w:p w:rsidR="00486192" w:rsidRDefault="00486192" w:rsidP="00013EA5">
      <w:pPr>
        <w:spacing w:line="360" w:lineRule="auto"/>
        <w:jc w:val="both"/>
        <w:rPr>
          <w:sz w:val="22"/>
          <w:szCs w:val="22"/>
        </w:rPr>
      </w:pPr>
    </w:p>
    <w:p w:rsidR="00B53FAC" w:rsidRDefault="00B53FAC" w:rsidP="00013EA5">
      <w:pPr>
        <w:spacing w:line="360" w:lineRule="auto"/>
        <w:jc w:val="both"/>
        <w:rPr>
          <w:sz w:val="22"/>
          <w:szCs w:val="22"/>
        </w:rPr>
      </w:pPr>
    </w:p>
    <w:p w:rsidR="00AF0405" w:rsidRPr="00C37FE0" w:rsidRDefault="00AF0405" w:rsidP="00013EA5">
      <w:pPr>
        <w:spacing w:line="360" w:lineRule="auto"/>
        <w:jc w:val="both"/>
      </w:pPr>
      <w:r w:rsidRPr="00C37FE0">
        <w:t>Журавльова  Ірина Валеріївна  744 15 89</w:t>
      </w:r>
    </w:p>
    <w:sectPr w:rsidR="00AF0405" w:rsidRPr="00C37FE0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775E"/>
    <w:rsid w:val="00020E83"/>
    <w:rsid w:val="00021AE5"/>
    <w:rsid w:val="00027D83"/>
    <w:rsid w:val="00030826"/>
    <w:rsid w:val="0003502F"/>
    <w:rsid w:val="0004663E"/>
    <w:rsid w:val="00054608"/>
    <w:rsid w:val="000565F4"/>
    <w:rsid w:val="0006606C"/>
    <w:rsid w:val="0007247B"/>
    <w:rsid w:val="000760A3"/>
    <w:rsid w:val="000830F8"/>
    <w:rsid w:val="00083465"/>
    <w:rsid w:val="000872D1"/>
    <w:rsid w:val="00091EBC"/>
    <w:rsid w:val="00093203"/>
    <w:rsid w:val="000A6BFF"/>
    <w:rsid w:val="000B0DEB"/>
    <w:rsid w:val="000B2C6E"/>
    <w:rsid w:val="000C3A11"/>
    <w:rsid w:val="000C6EA4"/>
    <w:rsid w:val="000D2510"/>
    <w:rsid w:val="000D473E"/>
    <w:rsid w:val="000E28F3"/>
    <w:rsid w:val="000E43AB"/>
    <w:rsid w:val="000E6056"/>
    <w:rsid w:val="000E67BB"/>
    <w:rsid w:val="000F0078"/>
    <w:rsid w:val="000F37BA"/>
    <w:rsid w:val="000F62A7"/>
    <w:rsid w:val="00101FDB"/>
    <w:rsid w:val="001132F0"/>
    <w:rsid w:val="00117181"/>
    <w:rsid w:val="00120C92"/>
    <w:rsid w:val="001218F4"/>
    <w:rsid w:val="00124659"/>
    <w:rsid w:val="00132816"/>
    <w:rsid w:val="0013292E"/>
    <w:rsid w:val="0013531F"/>
    <w:rsid w:val="00137A1D"/>
    <w:rsid w:val="00145F69"/>
    <w:rsid w:val="0015444D"/>
    <w:rsid w:val="00155B0F"/>
    <w:rsid w:val="001601FD"/>
    <w:rsid w:val="00161308"/>
    <w:rsid w:val="0016175A"/>
    <w:rsid w:val="00170101"/>
    <w:rsid w:val="001748DE"/>
    <w:rsid w:val="00185C07"/>
    <w:rsid w:val="00191CBD"/>
    <w:rsid w:val="001A3BDE"/>
    <w:rsid w:val="001B0310"/>
    <w:rsid w:val="001B16C8"/>
    <w:rsid w:val="001C1471"/>
    <w:rsid w:val="001D01FE"/>
    <w:rsid w:val="001D17CD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26813"/>
    <w:rsid w:val="00231A09"/>
    <w:rsid w:val="002436E0"/>
    <w:rsid w:val="00251F86"/>
    <w:rsid w:val="00254663"/>
    <w:rsid w:val="00254676"/>
    <w:rsid w:val="00264E19"/>
    <w:rsid w:val="00270040"/>
    <w:rsid w:val="0027329E"/>
    <w:rsid w:val="002757A0"/>
    <w:rsid w:val="00282DFB"/>
    <w:rsid w:val="00295404"/>
    <w:rsid w:val="00297333"/>
    <w:rsid w:val="002A6221"/>
    <w:rsid w:val="002B11A3"/>
    <w:rsid w:val="002B7E75"/>
    <w:rsid w:val="002D2955"/>
    <w:rsid w:val="002D3564"/>
    <w:rsid w:val="002D4971"/>
    <w:rsid w:val="002D52FF"/>
    <w:rsid w:val="002D629F"/>
    <w:rsid w:val="002E0321"/>
    <w:rsid w:val="002E1095"/>
    <w:rsid w:val="00300102"/>
    <w:rsid w:val="00301113"/>
    <w:rsid w:val="00302EB5"/>
    <w:rsid w:val="003039EC"/>
    <w:rsid w:val="00307429"/>
    <w:rsid w:val="003225BD"/>
    <w:rsid w:val="00323F25"/>
    <w:rsid w:val="0032464B"/>
    <w:rsid w:val="003259B3"/>
    <w:rsid w:val="00336364"/>
    <w:rsid w:val="0033715D"/>
    <w:rsid w:val="00367212"/>
    <w:rsid w:val="003736BE"/>
    <w:rsid w:val="00377209"/>
    <w:rsid w:val="003776F0"/>
    <w:rsid w:val="00381F3F"/>
    <w:rsid w:val="00393D7F"/>
    <w:rsid w:val="003A6AB4"/>
    <w:rsid w:val="003A6E32"/>
    <w:rsid w:val="003C0B5E"/>
    <w:rsid w:val="003C3158"/>
    <w:rsid w:val="003C4959"/>
    <w:rsid w:val="003D2A14"/>
    <w:rsid w:val="003D7903"/>
    <w:rsid w:val="003E0ED6"/>
    <w:rsid w:val="003E1045"/>
    <w:rsid w:val="003E3089"/>
    <w:rsid w:val="003E78FD"/>
    <w:rsid w:val="004121DB"/>
    <w:rsid w:val="0042140E"/>
    <w:rsid w:val="004231E3"/>
    <w:rsid w:val="00442AA8"/>
    <w:rsid w:val="00444115"/>
    <w:rsid w:val="00444EF7"/>
    <w:rsid w:val="00447BCA"/>
    <w:rsid w:val="00452869"/>
    <w:rsid w:val="00456B93"/>
    <w:rsid w:val="0047495C"/>
    <w:rsid w:val="004831CA"/>
    <w:rsid w:val="004847AC"/>
    <w:rsid w:val="00486192"/>
    <w:rsid w:val="00496A94"/>
    <w:rsid w:val="004A48BF"/>
    <w:rsid w:val="004B4CBF"/>
    <w:rsid w:val="004C020D"/>
    <w:rsid w:val="004C330B"/>
    <w:rsid w:val="004C435D"/>
    <w:rsid w:val="004C5D84"/>
    <w:rsid w:val="004C7953"/>
    <w:rsid w:val="004D2FA8"/>
    <w:rsid w:val="004D3975"/>
    <w:rsid w:val="004E0432"/>
    <w:rsid w:val="004E7762"/>
    <w:rsid w:val="004F7460"/>
    <w:rsid w:val="005010F3"/>
    <w:rsid w:val="005015EB"/>
    <w:rsid w:val="00513BF1"/>
    <w:rsid w:val="00522DFF"/>
    <w:rsid w:val="00522E2A"/>
    <w:rsid w:val="00531A1A"/>
    <w:rsid w:val="00533093"/>
    <w:rsid w:val="00535979"/>
    <w:rsid w:val="005401CE"/>
    <w:rsid w:val="0056236C"/>
    <w:rsid w:val="005703E5"/>
    <w:rsid w:val="00594304"/>
    <w:rsid w:val="005A5197"/>
    <w:rsid w:val="005C165D"/>
    <w:rsid w:val="005D26F5"/>
    <w:rsid w:val="005D6DFD"/>
    <w:rsid w:val="005D79A9"/>
    <w:rsid w:val="005E1B11"/>
    <w:rsid w:val="005E52E3"/>
    <w:rsid w:val="005F1E0A"/>
    <w:rsid w:val="005F6506"/>
    <w:rsid w:val="00604052"/>
    <w:rsid w:val="00606A93"/>
    <w:rsid w:val="00610CB2"/>
    <w:rsid w:val="006323D8"/>
    <w:rsid w:val="00644830"/>
    <w:rsid w:val="00646433"/>
    <w:rsid w:val="006518BF"/>
    <w:rsid w:val="00657980"/>
    <w:rsid w:val="006802DF"/>
    <w:rsid w:val="006A1303"/>
    <w:rsid w:val="006A5FD9"/>
    <w:rsid w:val="006B54CB"/>
    <w:rsid w:val="006C3C95"/>
    <w:rsid w:val="006C7159"/>
    <w:rsid w:val="006E3A0C"/>
    <w:rsid w:val="006F03A6"/>
    <w:rsid w:val="007031DE"/>
    <w:rsid w:val="0070352A"/>
    <w:rsid w:val="0071358A"/>
    <w:rsid w:val="00715A27"/>
    <w:rsid w:val="0072680E"/>
    <w:rsid w:val="00727FAC"/>
    <w:rsid w:val="007373D9"/>
    <w:rsid w:val="0073796E"/>
    <w:rsid w:val="00764436"/>
    <w:rsid w:val="00766E70"/>
    <w:rsid w:val="00771775"/>
    <w:rsid w:val="00772343"/>
    <w:rsid w:val="00772C16"/>
    <w:rsid w:val="007903B8"/>
    <w:rsid w:val="007A7C31"/>
    <w:rsid w:val="007C1B96"/>
    <w:rsid w:val="007D01B1"/>
    <w:rsid w:val="007D0C56"/>
    <w:rsid w:val="007D31A0"/>
    <w:rsid w:val="007D37D5"/>
    <w:rsid w:val="007D5DB6"/>
    <w:rsid w:val="007E3E0A"/>
    <w:rsid w:val="007E4A21"/>
    <w:rsid w:val="007E5B74"/>
    <w:rsid w:val="007F3C76"/>
    <w:rsid w:val="007F7443"/>
    <w:rsid w:val="00801784"/>
    <w:rsid w:val="00807F4C"/>
    <w:rsid w:val="00810564"/>
    <w:rsid w:val="00815CF1"/>
    <w:rsid w:val="00824518"/>
    <w:rsid w:val="0085160A"/>
    <w:rsid w:val="0085424A"/>
    <w:rsid w:val="008550F0"/>
    <w:rsid w:val="008703C5"/>
    <w:rsid w:val="0087425E"/>
    <w:rsid w:val="00874BA1"/>
    <w:rsid w:val="008757C0"/>
    <w:rsid w:val="00882F94"/>
    <w:rsid w:val="00885828"/>
    <w:rsid w:val="0088594E"/>
    <w:rsid w:val="00886AAF"/>
    <w:rsid w:val="00890F52"/>
    <w:rsid w:val="008A06FE"/>
    <w:rsid w:val="008B500B"/>
    <w:rsid w:val="008B7D47"/>
    <w:rsid w:val="008C1349"/>
    <w:rsid w:val="008C2BF1"/>
    <w:rsid w:val="008C3F4E"/>
    <w:rsid w:val="008C6EA4"/>
    <w:rsid w:val="008C71A1"/>
    <w:rsid w:val="008C77C1"/>
    <w:rsid w:val="008D24DE"/>
    <w:rsid w:val="008E1AE5"/>
    <w:rsid w:val="008F4350"/>
    <w:rsid w:val="00901230"/>
    <w:rsid w:val="00913D65"/>
    <w:rsid w:val="00915042"/>
    <w:rsid w:val="009166F9"/>
    <w:rsid w:val="00921C3F"/>
    <w:rsid w:val="00927097"/>
    <w:rsid w:val="009339CF"/>
    <w:rsid w:val="00934B5C"/>
    <w:rsid w:val="00950598"/>
    <w:rsid w:val="00951BEF"/>
    <w:rsid w:val="00970900"/>
    <w:rsid w:val="009712DD"/>
    <w:rsid w:val="00976431"/>
    <w:rsid w:val="00977561"/>
    <w:rsid w:val="00982818"/>
    <w:rsid w:val="00984DA3"/>
    <w:rsid w:val="0099288D"/>
    <w:rsid w:val="0099323F"/>
    <w:rsid w:val="00994449"/>
    <w:rsid w:val="009A09DF"/>
    <w:rsid w:val="009A529D"/>
    <w:rsid w:val="009B2F51"/>
    <w:rsid w:val="009C005A"/>
    <w:rsid w:val="009C43F8"/>
    <w:rsid w:val="009D3010"/>
    <w:rsid w:val="009D475F"/>
    <w:rsid w:val="009E012B"/>
    <w:rsid w:val="009F026C"/>
    <w:rsid w:val="009F1894"/>
    <w:rsid w:val="009F2BF5"/>
    <w:rsid w:val="00A051C4"/>
    <w:rsid w:val="00A06BDF"/>
    <w:rsid w:val="00A12347"/>
    <w:rsid w:val="00A13B52"/>
    <w:rsid w:val="00A23338"/>
    <w:rsid w:val="00A36938"/>
    <w:rsid w:val="00A50BCC"/>
    <w:rsid w:val="00A54082"/>
    <w:rsid w:val="00A55BD8"/>
    <w:rsid w:val="00A5782D"/>
    <w:rsid w:val="00A63ED2"/>
    <w:rsid w:val="00A720E3"/>
    <w:rsid w:val="00A72C0A"/>
    <w:rsid w:val="00A74B00"/>
    <w:rsid w:val="00A81427"/>
    <w:rsid w:val="00A869F3"/>
    <w:rsid w:val="00A91B88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C6FB3"/>
    <w:rsid w:val="00AD5E12"/>
    <w:rsid w:val="00AE6068"/>
    <w:rsid w:val="00AF0405"/>
    <w:rsid w:val="00AF0738"/>
    <w:rsid w:val="00B202A5"/>
    <w:rsid w:val="00B22644"/>
    <w:rsid w:val="00B26F7E"/>
    <w:rsid w:val="00B35AA9"/>
    <w:rsid w:val="00B420CE"/>
    <w:rsid w:val="00B43C1B"/>
    <w:rsid w:val="00B51212"/>
    <w:rsid w:val="00B53FAC"/>
    <w:rsid w:val="00B543BE"/>
    <w:rsid w:val="00B60A9C"/>
    <w:rsid w:val="00B63FF4"/>
    <w:rsid w:val="00B74837"/>
    <w:rsid w:val="00B7550B"/>
    <w:rsid w:val="00B8433B"/>
    <w:rsid w:val="00B91C87"/>
    <w:rsid w:val="00B934E7"/>
    <w:rsid w:val="00BA0C54"/>
    <w:rsid w:val="00BA129C"/>
    <w:rsid w:val="00BA4CC5"/>
    <w:rsid w:val="00BA504E"/>
    <w:rsid w:val="00BB0AB1"/>
    <w:rsid w:val="00BB39FE"/>
    <w:rsid w:val="00BC420F"/>
    <w:rsid w:val="00BD6102"/>
    <w:rsid w:val="00BE53D7"/>
    <w:rsid w:val="00BE7343"/>
    <w:rsid w:val="00BF3BA5"/>
    <w:rsid w:val="00BF650D"/>
    <w:rsid w:val="00BF7714"/>
    <w:rsid w:val="00C03D97"/>
    <w:rsid w:val="00C13026"/>
    <w:rsid w:val="00C204BD"/>
    <w:rsid w:val="00C21B33"/>
    <w:rsid w:val="00C27926"/>
    <w:rsid w:val="00C37FE0"/>
    <w:rsid w:val="00C4209A"/>
    <w:rsid w:val="00C44DD0"/>
    <w:rsid w:val="00C477FD"/>
    <w:rsid w:val="00C50AAF"/>
    <w:rsid w:val="00C55C20"/>
    <w:rsid w:val="00C60370"/>
    <w:rsid w:val="00C60A5C"/>
    <w:rsid w:val="00C645F9"/>
    <w:rsid w:val="00C649C4"/>
    <w:rsid w:val="00C65232"/>
    <w:rsid w:val="00C80452"/>
    <w:rsid w:val="00C9005F"/>
    <w:rsid w:val="00C913F1"/>
    <w:rsid w:val="00C95ADF"/>
    <w:rsid w:val="00CC7C28"/>
    <w:rsid w:val="00CD1FC5"/>
    <w:rsid w:val="00CD4CE0"/>
    <w:rsid w:val="00CD5FDC"/>
    <w:rsid w:val="00CF66B7"/>
    <w:rsid w:val="00CF7545"/>
    <w:rsid w:val="00CF7F57"/>
    <w:rsid w:val="00D00AA4"/>
    <w:rsid w:val="00D13D3F"/>
    <w:rsid w:val="00D14679"/>
    <w:rsid w:val="00D21508"/>
    <w:rsid w:val="00D2689D"/>
    <w:rsid w:val="00D3186F"/>
    <w:rsid w:val="00D31B53"/>
    <w:rsid w:val="00D435CA"/>
    <w:rsid w:val="00D4613B"/>
    <w:rsid w:val="00D4774E"/>
    <w:rsid w:val="00D5249F"/>
    <w:rsid w:val="00D531BB"/>
    <w:rsid w:val="00D568B3"/>
    <w:rsid w:val="00D63460"/>
    <w:rsid w:val="00D7660A"/>
    <w:rsid w:val="00D84B38"/>
    <w:rsid w:val="00D87528"/>
    <w:rsid w:val="00D91928"/>
    <w:rsid w:val="00DA004C"/>
    <w:rsid w:val="00DA23CF"/>
    <w:rsid w:val="00DA68E9"/>
    <w:rsid w:val="00DB7EB6"/>
    <w:rsid w:val="00DB7ED3"/>
    <w:rsid w:val="00DD42EF"/>
    <w:rsid w:val="00DD5433"/>
    <w:rsid w:val="00DE16F6"/>
    <w:rsid w:val="00DE5194"/>
    <w:rsid w:val="00DE6231"/>
    <w:rsid w:val="00E13A0F"/>
    <w:rsid w:val="00E22EAA"/>
    <w:rsid w:val="00E313D6"/>
    <w:rsid w:val="00E33A76"/>
    <w:rsid w:val="00E344D0"/>
    <w:rsid w:val="00E34DA3"/>
    <w:rsid w:val="00E43BDB"/>
    <w:rsid w:val="00E47E90"/>
    <w:rsid w:val="00E5073E"/>
    <w:rsid w:val="00E54878"/>
    <w:rsid w:val="00E57646"/>
    <w:rsid w:val="00E63E6A"/>
    <w:rsid w:val="00E81202"/>
    <w:rsid w:val="00E84C0B"/>
    <w:rsid w:val="00E906C5"/>
    <w:rsid w:val="00E90FB2"/>
    <w:rsid w:val="00E91F09"/>
    <w:rsid w:val="00E9719E"/>
    <w:rsid w:val="00EB2787"/>
    <w:rsid w:val="00EC1B03"/>
    <w:rsid w:val="00EC2DB2"/>
    <w:rsid w:val="00EC2DE0"/>
    <w:rsid w:val="00EC43D7"/>
    <w:rsid w:val="00ED3902"/>
    <w:rsid w:val="00ED4459"/>
    <w:rsid w:val="00ED5FB8"/>
    <w:rsid w:val="00EE0CA5"/>
    <w:rsid w:val="00EE37FB"/>
    <w:rsid w:val="00EE68CC"/>
    <w:rsid w:val="00F07DBB"/>
    <w:rsid w:val="00F07FA1"/>
    <w:rsid w:val="00F22DFE"/>
    <w:rsid w:val="00F25A43"/>
    <w:rsid w:val="00F3304F"/>
    <w:rsid w:val="00F56D7C"/>
    <w:rsid w:val="00F61037"/>
    <w:rsid w:val="00F62172"/>
    <w:rsid w:val="00F649E5"/>
    <w:rsid w:val="00F71591"/>
    <w:rsid w:val="00F72F94"/>
    <w:rsid w:val="00F73124"/>
    <w:rsid w:val="00F752AE"/>
    <w:rsid w:val="00F865BA"/>
    <w:rsid w:val="00F96F28"/>
    <w:rsid w:val="00F97CDA"/>
    <w:rsid w:val="00FA4BC8"/>
    <w:rsid w:val="00FB2476"/>
    <w:rsid w:val="00FB2A4E"/>
    <w:rsid w:val="00FB75C1"/>
    <w:rsid w:val="00FD560E"/>
    <w:rsid w:val="00FF097D"/>
    <w:rsid w:val="00FF15DF"/>
    <w:rsid w:val="00FF1E57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A1F67-FE96-4653-BFED-9DE0990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11368</Words>
  <Characters>6480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2</cp:revision>
  <cp:lastPrinted>2017-04-04T09:09:00Z</cp:lastPrinted>
  <dcterms:created xsi:type="dcterms:W3CDTF">2018-09-26T06:49:00Z</dcterms:created>
  <dcterms:modified xsi:type="dcterms:W3CDTF">2018-09-26T06:49:00Z</dcterms:modified>
</cp:coreProperties>
</file>