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A1" w:rsidRDefault="000B4DD5" w:rsidP="00A103C9">
      <w:pPr>
        <w:ind w:hanging="142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Звіт</w:t>
      </w:r>
      <w:r w:rsidRPr="000B4DD5">
        <w:rPr>
          <w:b/>
          <w:sz w:val="28"/>
          <w:szCs w:val="28"/>
          <w:lang w:val="uk-UA"/>
        </w:rPr>
        <w:t xml:space="preserve"> </w:t>
      </w:r>
      <w:r w:rsidRPr="003F18EE">
        <w:rPr>
          <w:b/>
          <w:sz w:val="28"/>
          <w:szCs w:val="28"/>
          <w:lang w:val="uk-UA"/>
        </w:rPr>
        <w:t>про ста</w:t>
      </w:r>
      <w:r>
        <w:rPr>
          <w:b/>
          <w:sz w:val="28"/>
          <w:szCs w:val="28"/>
          <w:lang w:val="uk-UA"/>
        </w:rPr>
        <w:t>н роботи зі зверненнями</w:t>
      </w:r>
      <w:r w:rsidRPr="003F18EE">
        <w:rPr>
          <w:b/>
          <w:sz w:val="28"/>
          <w:szCs w:val="28"/>
          <w:lang w:val="uk-UA"/>
        </w:rPr>
        <w:t xml:space="preserve"> громадян</w:t>
      </w:r>
      <w:r>
        <w:rPr>
          <w:b/>
          <w:sz w:val="28"/>
          <w:szCs w:val="28"/>
          <w:lang w:val="uk-UA"/>
        </w:rPr>
        <w:t>,</w:t>
      </w:r>
    </w:p>
    <w:p w:rsidR="00BB777A" w:rsidRPr="003F18EE" w:rsidRDefault="003F18EE" w:rsidP="00A103C9">
      <w:pPr>
        <w:ind w:hanging="142"/>
        <w:jc w:val="center"/>
        <w:rPr>
          <w:b/>
          <w:sz w:val="28"/>
          <w:szCs w:val="28"/>
          <w:lang w:val="uk-UA"/>
        </w:rPr>
      </w:pPr>
      <w:r w:rsidRPr="003F18EE">
        <w:rPr>
          <w:b/>
          <w:sz w:val="28"/>
          <w:szCs w:val="28"/>
          <w:lang w:val="uk-UA"/>
        </w:rPr>
        <w:t>що</w:t>
      </w:r>
      <w:r w:rsidRPr="00EC0A00">
        <w:rPr>
          <w:b/>
          <w:sz w:val="28"/>
          <w:szCs w:val="28"/>
          <w:lang w:val="uk-UA"/>
        </w:rPr>
        <w:t xml:space="preserve"> </w:t>
      </w:r>
      <w:r w:rsidRPr="003F18EE">
        <w:rPr>
          <w:b/>
          <w:sz w:val="28"/>
          <w:szCs w:val="28"/>
          <w:lang w:val="uk-UA"/>
        </w:rPr>
        <w:t>надійшли до департаменту інформаційних технологій Дніпровської міської ради</w:t>
      </w:r>
    </w:p>
    <w:p w:rsidR="003A79A1" w:rsidRDefault="003A79A1" w:rsidP="00A103C9">
      <w:pPr>
        <w:ind w:hanging="142"/>
        <w:jc w:val="both"/>
        <w:rPr>
          <w:sz w:val="28"/>
          <w:szCs w:val="28"/>
          <w:lang w:val="uk-UA"/>
        </w:rPr>
      </w:pPr>
    </w:p>
    <w:p w:rsidR="003F18EE" w:rsidRPr="003F18EE" w:rsidRDefault="003F18EE" w:rsidP="00A103C9">
      <w:pPr>
        <w:ind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 xml:space="preserve">Робота із зверненнями громадян у департаменті проводиться відповідно до вимог Конституції України,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</w:t>
      </w:r>
      <w:r w:rsidR="00E1490C">
        <w:rPr>
          <w:sz w:val="28"/>
          <w:szCs w:val="28"/>
          <w:lang w:val="uk-UA"/>
        </w:rPr>
        <w:t xml:space="preserve">законодавчих </w:t>
      </w:r>
      <w:r w:rsidRPr="003F18EE">
        <w:rPr>
          <w:sz w:val="28"/>
          <w:szCs w:val="28"/>
          <w:lang w:val="uk-UA"/>
        </w:rPr>
        <w:t>актів, що регламентують цю роботу. Департаментом</w:t>
      </w:r>
      <w:r w:rsidR="00E1490C">
        <w:rPr>
          <w:sz w:val="28"/>
          <w:szCs w:val="28"/>
          <w:lang w:val="uk-UA"/>
        </w:rPr>
        <w:t xml:space="preserve"> інформаційних технологій (далі – департамент)</w:t>
      </w:r>
      <w:r w:rsidRPr="003F18EE">
        <w:rPr>
          <w:sz w:val="28"/>
          <w:szCs w:val="28"/>
          <w:lang w:val="uk-UA"/>
        </w:rPr>
        <w:t xml:space="preserve"> проводиться системна робота </w:t>
      </w:r>
      <w:r w:rsidR="00E1490C">
        <w:rPr>
          <w:sz w:val="28"/>
          <w:szCs w:val="28"/>
          <w:lang w:val="uk-UA"/>
        </w:rPr>
        <w:t>щодо розгляду звернень громадян та</w:t>
      </w:r>
      <w:r w:rsidRPr="003F18EE">
        <w:rPr>
          <w:sz w:val="28"/>
          <w:szCs w:val="28"/>
          <w:lang w:val="uk-UA"/>
        </w:rPr>
        <w:t xml:space="preserve"> вирішення порушених у </w:t>
      </w:r>
      <w:r w:rsidR="00E1490C">
        <w:rPr>
          <w:sz w:val="28"/>
          <w:szCs w:val="28"/>
          <w:lang w:val="uk-UA"/>
        </w:rPr>
        <w:t>них</w:t>
      </w:r>
      <w:r w:rsidRPr="003F18EE">
        <w:rPr>
          <w:sz w:val="28"/>
          <w:szCs w:val="28"/>
          <w:lang w:val="uk-UA"/>
        </w:rPr>
        <w:t xml:space="preserve"> питань. </w:t>
      </w:r>
    </w:p>
    <w:p w:rsidR="003F18EE" w:rsidRPr="003F18EE" w:rsidRDefault="003F18EE" w:rsidP="00A103C9">
      <w:pPr>
        <w:ind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>Діловодство за зверненнями громадян у департаменті ведеться шляхом автоматизованої реєстра</w:t>
      </w:r>
      <w:r w:rsidR="00DE4289">
        <w:rPr>
          <w:sz w:val="28"/>
          <w:szCs w:val="28"/>
          <w:lang w:val="uk-UA"/>
        </w:rPr>
        <w:t>ції звернень у комп’ютерній програмі</w:t>
      </w:r>
      <w:r w:rsidRPr="003F18EE">
        <w:rPr>
          <w:sz w:val="28"/>
          <w:szCs w:val="28"/>
          <w:lang w:val="uk-UA"/>
        </w:rPr>
        <w:t xml:space="preserve"> «Загальний облік з</w:t>
      </w:r>
      <w:r w:rsidR="00DE4289">
        <w:rPr>
          <w:sz w:val="28"/>
          <w:szCs w:val="28"/>
          <w:lang w:val="uk-UA"/>
        </w:rPr>
        <w:t>вернень громадян</w:t>
      </w:r>
      <w:r w:rsidR="00737E17">
        <w:rPr>
          <w:sz w:val="28"/>
          <w:szCs w:val="28"/>
          <w:lang w:val="uk-UA"/>
        </w:rPr>
        <w:t>»</w:t>
      </w:r>
      <w:r w:rsidRPr="003F18EE">
        <w:rPr>
          <w:sz w:val="28"/>
          <w:szCs w:val="28"/>
          <w:lang w:val="uk-UA"/>
        </w:rPr>
        <w:t xml:space="preserve">. </w:t>
      </w:r>
    </w:p>
    <w:p w:rsidR="00BB777A" w:rsidRDefault="00024616" w:rsidP="00A103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</w:t>
      </w:r>
      <w:r w:rsidR="00E466E8" w:rsidRPr="00CF0F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звернень, що</w:t>
      </w:r>
      <w:r w:rsidRPr="00D65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надходять </w:t>
      </w:r>
      <w:r w:rsidR="00E466E8">
        <w:rPr>
          <w:sz w:val="28"/>
          <w:szCs w:val="28"/>
          <w:lang w:val="uk-UA"/>
        </w:rPr>
        <w:t xml:space="preserve">до департаменту інформаційних технологій </w:t>
      </w:r>
      <w:r>
        <w:rPr>
          <w:sz w:val="28"/>
          <w:szCs w:val="28"/>
          <w:lang w:val="uk-UA"/>
        </w:rPr>
        <w:t>з</w:t>
      </w:r>
      <w:r w:rsidR="005F0180">
        <w:rPr>
          <w:sz w:val="28"/>
          <w:szCs w:val="28"/>
          <w:lang w:val="uk-UA"/>
        </w:rPr>
        <w:t xml:space="preserve"> наступн</w:t>
      </w:r>
      <w:r>
        <w:rPr>
          <w:sz w:val="28"/>
          <w:szCs w:val="28"/>
          <w:lang w:val="uk-UA"/>
        </w:rPr>
        <w:t>их</w:t>
      </w:r>
      <w:r w:rsidR="005F01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 w:rsidR="00774BD1">
        <w:rPr>
          <w:sz w:val="28"/>
          <w:szCs w:val="28"/>
          <w:lang w:val="uk-UA"/>
        </w:rPr>
        <w:t xml:space="preserve"> наведено у таблиці.</w:t>
      </w:r>
    </w:p>
    <w:p w:rsidR="00024616" w:rsidRDefault="00024616" w:rsidP="00A103C9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7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3544"/>
        <w:gridCol w:w="3685"/>
        <w:gridCol w:w="2977"/>
        <w:gridCol w:w="1417"/>
      </w:tblGrid>
      <w:tr w:rsidR="00A103C9" w:rsidTr="000B4DD5">
        <w:trPr>
          <w:trHeight w:val="391"/>
        </w:trPr>
        <w:tc>
          <w:tcPr>
            <w:tcW w:w="2122" w:type="dxa"/>
            <w:vMerge w:val="restart"/>
          </w:tcPr>
          <w:p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Період</w:t>
            </w:r>
          </w:p>
        </w:tc>
        <w:tc>
          <w:tcPr>
            <w:tcW w:w="1559" w:type="dxa"/>
            <w:vMerge w:val="restart"/>
          </w:tcPr>
          <w:p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Загальна кількість звернень</w:t>
            </w:r>
          </w:p>
        </w:tc>
        <w:tc>
          <w:tcPr>
            <w:tcW w:w="11623" w:type="dxa"/>
            <w:gridSpan w:val="4"/>
          </w:tcPr>
          <w:p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Порушені питання</w:t>
            </w:r>
            <w:r w:rsidR="00774BD1">
              <w:rPr>
                <w:b/>
                <w:lang w:val="uk-UA"/>
              </w:rPr>
              <w:t>:</w:t>
            </w:r>
          </w:p>
        </w:tc>
      </w:tr>
      <w:tr w:rsidR="00A103C9" w:rsidTr="00A103C9">
        <w:trPr>
          <w:trHeight w:val="750"/>
        </w:trPr>
        <w:tc>
          <w:tcPr>
            <w:tcW w:w="2122" w:type="dxa"/>
            <w:vMerge/>
          </w:tcPr>
          <w:p w:rsidR="00024616" w:rsidRPr="00774BD1" w:rsidRDefault="00024616" w:rsidP="00A103C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024616" w:rsidRPr="00774BD1" w:rsidRDefault="00024616" w:rsidP="00A103C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</w:tcPr>
          <w:p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щодо роботи сайту та інших електронних сервісів</w:t>
            </w:r>
          </w:p>
        </w:tc>
        <w:tc>
          <w:tcPr>
            <w:tcW w:w="3685" w:type="dxa"/>
          </w:tcPr>
          <w:p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про отримання відео з камер відеоспостереження міста</w:t>
            </w:r>
          </w:p>
        </w:tc>
        <w:tc>
          <w:tcPr>
            <w:tcW w:w="2977" w:type="dxa"/>
          </w:tcPr>
          <w:p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отримання учнівського квитка</w:t>
            </w:r>
          </w:p>
        </w:tc>
        <w:tc>
          <w:tcPr>
            <w:tcW w:w="1417" w:type="dxa"/>
          </w:tcPr>
          <w:p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інше</w:t>
            </w:r>
          </w:p>
        </w:tc>
      </w:tr>
      <w:tr w:rsidR="00A103C9" w:rsidTr="00A103C9">
        <w:tc>
          <w:tcPr>
            <w:tcW w:w="2122" w:type="dxa"/>
          </w:tcPr>
          <w:p w:rsidR="00024616" w:rsidRDefault="00774BD1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2025</w:t>
            </w:r>
          </w:p>
        </w:tc>
        <w:tc>
          <w:tcPr>
            <w:tcW w:w="1559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B4DD5" w:rsidTr="00A103C9">
        <w:tc>
          <w:tcPr>
            <w:tcW w:w="2122" w:type="dxa"/>
          </w:tcPr>
          <w:p w:rsidR="000B4DD5" w:rsidRDefault="000B4DD5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2025</w:t>
            </w:r>
          </w:p>
        </w:tc>
        <w:tc>
          <w:tcPr>
            <w:tcW w:w="1559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DD5" w:rsidTr="00A103C9">
        <w:tc>
          <w:tcPr>
            <w:tcW w:w="2122" w:type="dxa"/>
          </w:tcPr>
          <w:p w:rsidR="000B4DD5" w:rsidRDefault="000B4DD5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2025</w:t>
            </w:r>
          </w:p>
        </w:tc>
        <w:tc>
          <w:tcPr>
            <w:tcW w:w="1559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B4DD5" w:rsidRDefault="000B4DD5" w:rsidP="00E240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24616" w:rsidRDefault="00024616" w:rsidP="00A103C9">
      <w:pPr>
        <w:ind w:firstLine="709"/>
        <w:jc w:val="both"/>
        <w:rPr>
          <w:sz w:val="28"/>
          <w:szCs w:val="28"/>
          <w:lang w:val="uk-UA"/>
        </w:rPr>
      </w:pPr>
    </w:p>
    <w:p w:rsidR="006A7968" w:rsidRPr="00731337" w:rsidRDefault="00836892" w:rsidP="00A103C9">
      <w:pPr>
        <w:ind w:firstLine="709"/>
        <w:jc w:val="both"/>
        <w:rPr>
          <w:sz w:val="22"/>
          <w:szCs w:val="22"/>
          <w:lang w:val="uk-UA"/>
        </w:rPr>
      </w:pPr>
      <w:r w:rsidRPr="00836892">
        <w:rPr>
          <w:sz w:val="28"/>
          <w:szCs w:val="28"/>
          <w:lang w:val="uk-UA"/>
        </w:rPr>
        <w:t>Про результати розгляду звернень заявникам надані обґрунтовані відповіді</w:t>
      </w:r>
      <w:r w:rsidR="006A7968">
        <w:rPr>
          <w:sz w:val="28"/>
          <w:szCs w:val="28"/>
          <w:lang w:val="uk-UA"/>
        </w:rPr>
        <w:t xml:space="preserve"> у терміни, визначені </w:t>
      </w:r>
      <w:r w:rsidR="006A7968" w:rsidRPr="003A405F">
        <w:rPr>
          <w:sz w:val="28"/>
          <w:szCs w:val="28"/>
          <w:lang w:val="uk-UA"/>
        </w:rPr>
        <w:t>ст. 20 Закону України "Про звернення громадян".</w:t>
      </w:r>
      <w:r w:rsidR="006A7968">
        <w:rPr>
          <w:sz w:val="28"/>
          <w:szCs w:val="28"/>
          <w:lang w:val="uk-UA"/>
        </w:rPr>
        <w:t xml:space="preserve"> </w:t>
      </w:r>
      <w:r w:rsidR="00774BD1">
        <w:rPr>
          <w:sz w:val="28"/>
          <w:szCs w:val="28"/>
          <w:lang w:val="uk-UA"/>
        </w:rPr>
        <w:t>У</w:t>
      </w:r>
      <w:r w:rsidR="00774BD1" w:rsidRPr="003A405F">
        <w:rPr>
          <w:sz w:val="28"/>
          <w:szCs w:val="28"/>
          <w:lang w:val="uk-UA"/>
        </w:rPr>
        <w:t xml:space="preserve">сі звернення опрацьовано згідно з чинним законодавством та у разі потреби вжито </w:t>
      </w:r>
      <w:r w:rsidR="00774BD1">
        <w:rPr>
          <w:sz w:val="28"/>
          <w:szCs w:val="28"/>
          <w:lang w:val="uk-UA"/>
        </w:rPr>
        <w:t xml:space="preserve">необхідних </w:t>
      </w:r>
      <w:r w:rsidR="00774BD1" w:rsidRPr="003A405F">
        <w:rPr>
          <w:sz w:val="28"/>
          <w:szCs w:val="28"/>
          <w:lang w:val="uk-UA"/>
        </w:rPr>
        <w:t>заходів реагування</w:t>
      </w:r>
    </w:p>
    <w:sectPr w:rsidR="006A7968" w:rsidRPr="00731337" w:rsidSect="00A103C9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0"/>
  </w:num>
  <w:num w:numId="5">
    <w:abstractNumId w:val="26"/>
  </w:num>
  <w:num w:numId="6">
    <w:abstractNumId w:val="28"/>
  </w:num>
  <w:num w:numId="7">
    <w:abstractNumId w:val="36"/>
  </w:num>
  <w:num w:numId="8">
    <w:abstractNumId w:val="6"/>
  </w:num>
  <w:num w:numId="9">
    <w:abstractNumId w:val="38"/>
  </w:num>
  <w:num w:numId="10">
    <w:abstractNumId w:val="35"/>
  </w:num>
  <w:num w:numId="11">
    <w:abstractNumId w:val="12"/>
  </w:num>
  <w:num w:numId="12">
    <w:abstractNumId w:val="32"/>
  </w:num>
  <w:num w:numId="13">
    <w:abstractNumId w:val="27"/>
  </w:num>
  <w:num w:numId="14">
    <w:abstractNumId w:val="8"/>
  </w:num>
  <w:num w:numId="15">
    <w:abstractNumId w:val="33"/>
  </w:num>
  <w:num w:numId="16">
    <w:abstractNumId w:val="11"/>
  </w:num>
  <w:num w:numId="17">
    <w:abstractNumId w:val="24"/>
  </w:num>
  <w:num w:numId="18">
    <w:abstractNumId w:val="37"/>
  </w:num>
  <w:num w:numId="19">
    <w:abstractNumId w:val="4"/>
  </w:num>
  <w:num w:numId="20">
    <w:abstractNumId w:val="9"/>
  </w:num>
  <w:num w:numId="21">
    <w:abstractNumId w:val="13"/>
  </w:num>
  <w:num w:numId="22">
    <w:abstractNumId w:val="31"/>
  </w:num>
  <w:num w:numId="23">
    <w:abstractNumId w:val="1"/>
  </w:num>
  <w:num w:numId="24">
    <w:abstractNumId w:val="14"/>
  </w:num>
  <w:num w:numId="25">
    <w:abstractNumId w:val="2"/>
  </w:num>
  <w:num w:numId="26">
    <w:abstractNumId w:val="7"/>
  </w:num>
  <w:num w:numId="27">
    <w:abstractNumId w:val="18"/>
  </w:num>
  <w:num w:numId="28">
    <w:abstractNumId w:val="16"/>
  </w:num>
  <w:num w:numId="29">
    <w:abstractNumId w:val="25"/>
  </w:num>
  <w:num w:numId="30">
    <w:abstractNumId w:val="30"/>
  </w:num>
  <w:num w:numId="31">
    <w:abstractNumId w:val="23"/>
  </w:num>
  <w:num w:numId="32">
    <w:abstractNumId w:val="3"/>
  </w:num>
  <w:num w:numId="33">
    <w:abstractNumId w:val="5"/>
  </w:num>
  <w:num w:numId="34">
    <w:abstractNumId w:val="15"/>
  </w:num>
  <w:num w:numId="35">
    <w:abstractNumId w:val="34"/>
  </w:num>
  <w:num w:numId="36">
    <w:abstractNumId w:val="29"/>
  </w:num>
  <w:num w:numId="37">
    <w:abstractNumId w:val="17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B"/>
    <w:rsid w:val="00007237"/>
    <w:rsid w:val="0002437C"/>
    <w:rsid w:val="00024616"/>
    <w:rsid w:val="000266C1"/>
    <w:rsid w:val="000317F2"/>
    <w:rsid w:val="00041608"/>
    <w:rsid w:val="00043FC3"/>
    <w:rsid w:val="00046EB5"/>
    <w:rsid w:val="00070F99"/>
    <w:rsid w:val="00082DD2"/>
    <w:rsid w:val="0009294D"/>
    <w:rsid w:val="00096B21"/>
    <w:rsid w:val="000A65D2"/>
    <w:rsid w:val="000B4DD5"/>
    <w:rsid w:val="000D7543"/>
    <w:rsid w:val="000D78CA"/>
    <w:rsid w:val="00103E3E"/>
    <w:rsid w:val="00107256"/>
    <w:rsid w:val="00113A99"/>
    <w:rsid w:val="00127048"/>
    <w:rsid w:val="0014064A"/>
    <w:rsid w:val="00141AA5"/>
    <w:rsid w:val="00192A95"/>
    <w:rsid w:val="001D3CBF"/>
    <w:rsid w:val="001D69F5"/>
    <w:rsid w:val="001F29DC"/>
    <w:rsid w:val="00215B36"/>
    <w:rsid w:val="00292DA0"/>
    <w:rsid w:val="002B0BC2"/>
    <w:rsid w:val="002E7B1A"/>
    <w:rsid w:val="002F2708"/>
    <w:rsid w:val="002F2EF1"/>
    <w:rsid w:val="00302CE1"/>
    <w:rsid w:val="0031147F"/>
    <w:rsid w:val="00320D2D"/>
    <w:rsid w:val="00397DF2"/>
    <w:rsid w:val="003A405F"/>
    <w:rsid w:val="003A79A1"/>
    <w:rsid w:val="003F18EE"/>
    <w:rsid w:val="0042609B"/>
    <w:rsid w:val="00455AE6"/>
    <w:rsid w:val="00461A92"/>
    <w:rsid w:val="00462A8D"/>
    <w:rsid w:val="00483BAB"/>
    <w:rsid w:val="004B26FC"/>
    <w:rsid w:val="004B46D4"/>
    <w:rsid w:val="004E0A30"/>
    <w:rsid w:val="005100C2"/>
    <w:rsid w:val="005440C5"/>
    <w:rsid w:val="00575F3B"/>
    <w:rsid w:val="00587CD8"/>
    <w:rsid w:val="00591E6D"/>
    <w:rsid w:val="005A5E73"/>
    <w:rsid w:val="005F0180"/>
    <w:rsid w:val="00611AE4"/>
    <w:rsid w:val="00615183"/>
    <w:rsid w:val="00673859"/>
    <w:rsid w:val="00685DB3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52B38"/>
    <w:rsid w:val="0077355E"/>
    <w:rsid w:val="00774BD1"/>
    <w:rsid w:val="00787C54"/>
    <w:rsid w:val="00791D43"/>
    <w:rsid w:val="007D3B62"/>
    <w:rsid w:val="007E3382"/>
    <w:rsid w:val="008167EB"/>
    <w:rsid w:val="00833BD1"/>
    <w:rsid w:val="00836892"/>
    <w:rsid w:val="00871311"/>
    <w:rsid w:val="0087202E"/>
    <w:rsid w:val="0087611D"/>
    <w:rsid w:val="0089534D"/>
    <w:rsid w:val="008A0E8E"/>
    <w:rsid w:val="008A6A9B"/>
    <w:rsid w:val="008C1FD0"/>
    <w:rsid w:val="008D4567"/>
    <w:rsid w:val="009305C0"/>
    <w:rsid w:val="00934C42"/>
    <w:rsid w:val="00936681"/>
    <w:rsid w:val="00957820"/>
    <w:rsid w:val="009925E2"/>
    <w:rsid w:val="009C47AA"/>
    <w:rsid w:val="009C6E24"/>
    <w:rsid w:val="009E4547"/>
    <w:rsid w:val="009F4020"/>
    <w:rsid w:val="00A103C9"/>
    <w:rsid w:val="00A31D4E"/>
    <w:rsid w:val="00A3636E"/>
    <w:rsid w:val="00A50B04"/>
    <w:rsid w:val="00A7605F"/>
    <w:rsid w:val="00A85E4B"/>
    <w:rsid w:val="00AC230F"/>
    <w:rsid w:val="00AC621C"/>
    <w:rsid w:val="00AD7065"/>
    <w:rsid w:val="00AE5BC5"/>
    <w:rsid w:val="00B50F6D"/>
    <w:rsid w:val="00B67A65"/>
    <w:rsid w:val="00BB777A"/>
    <w:rsid w:val="00BD78CF"/>
    <w:rsid w:val="00BF129C"/>
    <w:rsid w:val="00C1670D"/>
    <w:rsid w:val="00C56331"/>
    <w:rsid w:val="00C90476"/>
    <w:rsid w:val="00CB5BE0"/>
    <w:rsid w:val="00CF0731"/>
    <w:rsid w:val="00CF0838"/>
    <w:rsid w:val="00CF3287"/>
    <w:rsid w:val="00D06E40"/>
    <w:rsid w:val="00D1239C"/>
    <w:rsid w:val="00D619C8"/>
    <w:rsid w:val="00D749AF"/>
    <w:rsid w:val="00D74B20"/>
    <w:rsid w:val="00D80A8E"/>
    <w:rsid w:val="00D84F8A"/>
    <w:rsid w:val="00D86102"/>
    <w:rsid w:val="00D948B7"/>
    <w:rsid w:val="00DE4289"/>
    <w:rsid w:val="00DF7FDA"/>
    <w:rsid w:val="00E1490C"/>
    <w:rsid w:val="00E16BA3"/>
    <w:rsid w:val="00E24038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26DCE"/>
    <w:rsid w:val="00F36E21"/>
    <w:rsid w:val="00F4023A"/>
    <w:rsid w:val="00F41E94"/>
    <w:rsid w:val="00F63FDF"/>
    <w:rsid w:val="00F92822"/>
    <w:rsid w:val="00F9749E"/>
    <w:rsid w:val="00F97842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о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0644-83A9-472A-B4CA-69808A33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Орел</cp:lastModifiedBy>
  <cp:revision>2</cp:revision>
  <cp:lastPrinted>2023-02-14T14:18:00Z</cp:lastPrinted>
  <dcterms:created xsi:type="dcterms:W3CDTF">2025-02-19T09:20:00Z</dcterms:created>
  <dcterms:modified xsi:type="dcterms:W3CDTF">2025-02-19T09:20:00Z</dcterms:modified>
</cp:coreProperties>
</file>