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F0D7" w14:textId="46BA9F2D" w:rsidR="002F0592" w:rsidRDefault="002F0592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669DF8" w14:textId="77777777" w:rsidR="00062F9B" w:rsidRPr="0044610A" w:rsidRDefault="00062F9B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37CB5AD0" w14:textId="77777777" w:rsidR="00897C4E" w:rsidRPr="0044610A" w:rsidRDefault="00897C4E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14:paraId="0F67BB4D" w14:textId="77777777" w:rsidR="00897C4E" w:rsidRPr="0044610A" w:rsidRDefault="00897C4E" w:rsidP="00897C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ОБСЯГУ СТРАТЕГІЧНОЇ ЕКОЛОГІЧНОЇ ОЦІНКИ</w:t>
      </w:r>
    </w:p>
    <w:p w14:paraId="1989355E" w14:textId="0B02ECFA" w:rsidR="00897C4E" w:rsidRPr="0044610A" w:rsidRDefault="002F0592" w:rsidP="00897C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r w:rsidR="00897C4E" w:rsidRPr="0044610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 w:rsidR="00897C4E" w:rsidRPr="00446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897C4E" w:rsidRPr="0044610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Детальний план території кварталу, </w:t>
      </w:r>
      <w:r w:rsidR="00533C23" w:rsidRPr="0044610A">
        <w:rPr>
          <w:rFonts w:ascii="Times New Roman" w:hAnsi="Times New Roman" w:cs="Times New Roman"/>
          <w:b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b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b/>
          <w:sz w:val="24"/>
          <w:szCs w:val="24"/>
          <w:lang w:val="uk-UA" w:eastAsia="uk-UA"/>
        </w:rPr>
        <w:t>, Барикадною (Шевченківський район)</w:t>
      </w:r>
      <w:r w:rsidR="00897C4E" w:rsidRPr="0044610A">
        <w:rPr>
          <w:rFonts w:ascii="Times New Roman" w:hAnsi="Times New Roman" w:cs="Times New Roman"/>
          <w:b/>
          <w:sz w:val="24"/>
          <w:szCs w:val="24"/>
          <w:lang w:val="uk-UA" w:eastAsia="uk-UA"/>
        </w:rPr>
        <w:t>» у місті Дніпрі.</w:t>
      </w:r>
    </w:p>
    <w:p w14:paraId="3FD11A0F" w14:textId="239D18C1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10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Замовник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по роботі з активами Дніпровської міської ради</w:t>
      </w:r>
      <w:r w:rsidR="004461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10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ідстава 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F0592" w:rsidRPr="004461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1FEB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рішення Дніпровської міської ради від </w:t>
      </w:r>
      <w:r w:rsidR="00AB1FEB"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21.04.2021 № 41</w:t>
      </w:r>
      <w:r w:rsidR="0044610A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5</w:t>
      </w:r>
      <w:r w:rsidR="00AB1FEB"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/6</w:t>
      </w:r>
      <w:r w:rsidR="00AB1FEB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10A">
        <w:rPr>
          <w:rFonts w:ascii="Times New Roman" w:hAnsi="Times New Roman" w:cs="Times New Roman"/>
          <w:sz w:val="24"/>
          <w:szCs w:val="24"/>
          <w:lang w:val="uk-UA"/>
        </w:rPr>
        <w:t>«Про надання дозволу на</w:t>
      </w:r>
      <w:r w:rsidR="00AB1FEB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FEB" w:rsidRPr="004461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розроблення детального плану </w:t>
      </w:r>
      <w:r w:rsidR="00AB1FEB"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території 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="0044610A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53E19328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Вид та основні цілі документа державного планування, його зв’язок з іншими документами державного планування.</w:t>
      </w:r>
    </w:p>
    <w:p w14:paraId="0FD739FB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є видом містобудівної документації на місцевому рівні, призначеної для уточнення рішень генерального плану міста та визначає довгострокову стратегію планування та забудови території в межах детального плану. Детальний план території розробляється на виконання статті 17 Закону України «Про регулювання містобудівної діяльності».</w:t>
      </w:r>
    </w:p>
    <w:p w14:paraId="4ED7FA7F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14:paraId="4EB1A956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Склад та зміст детального плану визначається ДБН Б.1.1-14:2012 «Склад та зміст детального плану території». Рішення детального плану мають відповідати основним рішенням затвердженого генерального плану, вимогам ДБН Б.2.2-12:2018 «Планування та забудова територій», ДСП 173 – 96 «Державні санітарні правила планування та забудови населених пунктів», а також широкого кола інших державних будівельних норм та державних стандартів України.</w:t>
      </w:r>
    </w:p>
    <w:p w14:paraId="10BA21DC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визначає принципи і напрямки планувальної організації та функціонального призначення території, згідно рішень генерального плану міста, формування системи громадського обслуговування населення, організації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-дорожньої та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охорони навколишнього природного середовища, охорони та збереження культурної спадщини та традиційного характеру середовища історичних населених пунктів, а також послідовність реалізації рішень, у тому числі етапність освоєння території.</w:t>
      </w:r>
    </w:p>
    <w:p w14:paraId="4FB1B1B0" w14:textId="3CC5410F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A62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міст</w:t>
      </w:r>
      <w:r w:rsidR="00DA62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Дніпр</w:t>
      </w:r>
      <w:r w:rsidR="00DA628D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розробляється на виконання рішення Дніпровської міської ради від </w:t>
      </w:r>
      <w:r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2</w:t>
      </w:r>
      <w:r w:rsidR="0044610A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1</w:t>
      </w:r>
      <w:r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.04.202</w:t>
      </w:r>
      <w:r w:rsidR="0044610A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1</w:t>
      </w:r>
      <w:r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 xml:space="preserve"> №</w:t>
      </w:r>
      <w:r w:rsidR="0044610A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415</w:t>
      </w:r>
      <w:r w:rsidRPr="0044610A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/6</w:t>
      </w:r>
    </w:p>
    <w:p w14:paraId="6EFA92B0" w14:textId="7CCFACC0" w:rsidR="00897C4E" w:rsidRPr="0044610A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розробляється у розвиток рішень генерального плану</w:t>
      </w:r>
      <w:r w:rsidR="00DA628D">
        <w:rPr>
          <w:rFonts w:ascii="Times New Roman" w:hAnsi="Times New Roman" w:cs="Times New Roman"/>
          <w:sz w:val="24"/>
          <w:szCs w:val="24"/>
          <w:lang w:val="uk-UA"/>
        </w:rPr>
        <w:t xml:space="preserve"> розвитку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міста Дніпр</w:t>
      </w:r>
      <w:r w:rsidR="00DA628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Генеральної схеми планування території України та Схеми планування території Дніпропетровської області (ДП «ДІПРОМІСТО», Київ, 2009 р.). </w:t>
      </w:r>
    </w:p>
    <w:p w14:paraId="1DDA5D68" w14:textId="4E2DC76C" w:rsidR="00897C4E" w:rsidRPr="0044610A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розроблені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враховуються також стратегії і програми економічного, екологічного, соціального розвитку; наявна чинна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документація; спеціалізовані схеми,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і програми що діють в </w:t>
      </w:r>
      <w:r w:rsidR="00DA628D">
        <w:rPr>
          <w:rFonts w:ascii="Times New Roman" w:hAnsi="Times New Roman" w:cs="Times New Roman"/>
          <w:sz w:val="24"/>
          <w:szCs w:val="24"/>
          <w:lang w:val="uk-UA"/>
        </w:rPr>
        <w:t>місті Дніпрі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числі: </w:t>
      </w:r>
    </w:p>
    <w:p w14:paraId="5D3E0ECF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Цілі сталого розвитку: Дніпро – 2030, «Регіональна доповідь»;</w:t>
      </w:r>
    </w:p>
    <w:p w14:paraId="30CB0599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Стратегія розвитку Дніпропетровської області;</w:t>
      </w:r>
    </w:p>
    <w:p w14:paraId="77A295B8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Комплексна програма охорони навколишнього природного середовища м. Дніпра;</w:t>
      </w:r>
    </w:p>
    <w:p w14:paraId="3356BD90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Питна вода м. Дніпра;</w:t>
      </w:r>
    </w:p>
    <w:p w14:paraId="21B311C2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Стратегія </w:t>
      </w: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поводження з твердими побутовими відходами (у рамках реалізації обласної комплексної програми (стратегії) екологічної безпеки та запобігання змінам клімату; </w:t>
      </w:r>
    </w:p>
    <w:p w14:paraId="6DBD0E26" w14:textId="47B4783A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Екологічний паспорт м. Дніпра – 2016 р</w:t>
      </w:r>
      <w:r w:rsidR="002F0592"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14:paraId="08D4BD5F" w14:textId="77777777" w:rsidR="00897C4E" w:rsidRPr="0044610A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Регіональна доповідь про стан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 в Дніпропетровській області;</w:t>
      </w:r>
    </w:p>
    <w:p w14:paraId="647198D6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14:paraId="750133D6" w14:textId="41290C4B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Розроблення детального плану передбачає формування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відповідно Завдання на розроблення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охоплюють усі види діяльності, які провадяться або провадження яких заплановане в перспективі на території в межах 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ування. Детальний план визначає планувальну структуру та потужність об’єктів що пропонуються до розташовування, згідно з функціональним призначенням території визначеним генеральним планом міста.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обґрунтовує потужність об’єктів комунально-побутового обслуговування, можливого розташування дошкільних та шкільних закладів, зон відпочинку, та інше що виникає на підставі аналізу техніко-економічних показників існуючого використання території, демографічного прогнозу, та потреб територіального розвитку населеного пункту визначеного генеральним планом.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архітектурно-планувальної організації </w:t>
      </w:r>
      <w:r w:rsidR="0033196F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обумовлюються в тому числі Завданням на розроблення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, державними інтересами. Одночасно детальний план не змінює існуюче функціональне використання окремих земельних ділянок та їх категорій, а лише створює умови для наступної такої зміни на підставі Плану зонування території та Законів України.</w:t>
      </w:r>
    </w:p>
    <w:p w14:paraId="4A2EA0BD" w14:textId="158110D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Таким чином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територіальні (просторові) умови для реалізації видів діяльності або об’єктів, щодо яких законодавством передбачено здійснення процедури оцінки впливу на довкілля, в частині дотримання планувальних обмежень (санітарно-захисних зон, охоронних зон, природоохоронних зон), а також в частині дотримання режимів господарської діяльності в їх межах, які визначені законодавством України та низкою нормативно-правових актів у сфері забезпечення норм санітарної гігієни та охорони навколишнього природного середовища на території населених пунктів. </w:t>
      </w:r>
    </w:p>
    <w:p w14:paraId="79D94035" w14:textId="5302FF6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Головними екологічними проблеми, що мають відношення до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є: утворення та поводження з твердими побутовими відходами; використання природних рослинних ресурсів та розвиток зеленого господарства міста; забруднення атмосферного повітря в зоні впливу магістральних вулиць; наявність порушених ділянок, в тому числі, що зазнали техногенного впливу в наслідок господарської діяльності.</w:t>
      </w:r>
    </w:p>
    <w:p w14:paraId="1E813162" w14:textId="5B943C13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Цілями охорони довкілля, у тому числі здоров’я населення, при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є: зменшення техногенного навантаження на геологічне та ґрунтове середовище; забезпечення сприятливих умов для життя та відпочинку населення; зменшення забруднення атмосферного повітря в зоні впливу магістральних вулиць; створення передумов більш ефективного господарського використання земельних ресурсів населеного пункту.</w:t>
      </w:r>
    </w:p>
    <w:p w14:paraId="5D504774" w14:textId="5F8616BF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сфери охоплення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відноситься оцінка наслідків для довкілля, у тому числі для здоров’я населення, від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рішень.</w:t>
      </w:r>
    </w:p>
    <w:p w14:paraId="6BD21896" w14:textId="3230782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Стратегічна екологічна оцінка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здійснюється для території що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ується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яка визначається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ними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межами детального плану.</w:t>
      </w:r>
    </w:p>
    <w:p w14:paraId="76061E76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Для досягнення цілей стратегічної екологічної оцінки будуть зібрані та використані наступні вихідні дані:</w:t>
      </w:r>
    </w:p>
    <w:p w14:paraId="63CB8B54" w14:textId="2042C5FD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1. Регіональна доповідь про стан навколишнього природного середовища у Дніпропетровській області (частина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яка стосується територій що межують з територіями детального плану);</w:t>
      </w:r>
    </w:p>
    <w:p w14:paraId="12ACF61A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2. Статистичний щорічник Дніпропетровської області;</w:t>
      </w:r>
    </w:p>
    <w:p w14:paraId="1069FC18" w14:textId="6DA83A64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Законодавчі акти, які мають відношення до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плану;</w:t>
      </w:r>
    </w:p>
    <w:p w14:paraId="4CF8E47B" w14:textId="5EC964FF" w:rsidR="00897C4E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4. Статистичний щорічник міста Дніпр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D1398A3" w14:textId="77777777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5. Дані моніторингу стану довкілля, що здійснюється існуючими державними суб’єктами моніторингу довкілля на регіональному та місцевому рівні.</w:t>
      </w:r>
    </w:p>
    <w:p w14:paraId="33D37610" w14:textId="77777777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 6. Матеріали Генерального плану міста.</w:t>
      </w:r>
    </w:p>
    <w:p w14:paraId="52651D47" w14:textId="77777777" w:rsidR="0033196F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           7. Інші доступні джерела інформації.</w:t>
      </w:r>
    </w:p>
    <w:p w14:paraId="69560E8A" w14:textId="77777777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47CFA" w14:textId="230B8032" w:rsidR="0033196F" w:rsidRPr="0044610A" w:rsidRDefault="0033196F" w:rsidP="0033196F">
      <w:pPr>
        <w:keepLines/>
        <w:autoSpaceDE w:val="0"/>
        <w:autoSpaceDN w:val="0"/>
        <w:adjustRightInd w:val="0"/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Законодавчі акти :</w:t>
      </w:r>
    </w:p>
    <w:p w14:paraId="036232A1" w14:textId="3CB24D8C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регулювання містобудівної діяльності» від 17.02.2011 р. №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3038-VІ із змінами;</w:t>
      </w:r>
    </w:p>
    <w:p w14:paraId="693D0C33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внесення змін до статті 8 Закону України «Про автомобільні дороги» щодо класифікації автомобільних доріг загального користування» від 20.12. 2011 р. № 4203-VІ;</w:t>
      </w:r>
    </w:p>
    <w:p w14:paraId="6609E5D4" w14:textId="1F55CBDD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«Про Концепцію сталого розвитку населених пунктів» від 28.12.1998 р. №</w:t>
      </w:r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2349;</w:t>
      </w:r>
    </w:p>
    <w:p w14:paraId="24C2E609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Земельний кодекс України від 25.10.2001 р. № 2768-ІІІ (із змінами);</w:t>
      </w:r>
    </w:p>
    <w:p w14:paraId="63FFAFF3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охорону атмосферного повітря";</w:t>
      </w:r>
    </w:p>
    <w:p w14:paraId="630DDE75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відходи";</w:t>
      </w:r>
    </w:p>
    <w:p w14:paraId="261C1EE6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екологічну мережу України";</w:t>
      </w:r>
    </w:p>
    <w:p w14:paraId="1FDA22B7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Закон України "Про забезпечення санітарного та епідемічного благополуччя населення";</w:t>
      </w:r>
    </w:p>
    <w:p w14:paraId="0E72930F" w14:textId="77777777" w:rsidR="00897C4E" w:rsidRPr="0044610A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низка інших законодавчих та підзаконних актів в сфері охорони довкілля, розміщення та експлуатації об’єктів та мереж інженерної та транспортної інфраструктури.</w:t>
      </w:r>
    </w:p>
    <w:p w14:paraId="5F7CF94F" w14:textId="35A95AF7" w:rsidR="00897C4E" w:rsidRPr="0044610A" w:rsidRDefault="00897C4E" w:rsidP="0033196F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8754754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Ймовірні наслідки:</w:t>
      </w:r>
    </w:p>
    <w:p w14:paraId="263E567B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44610A">
        <w:rPr>
          <w:rFonts w:ascii="Times New Roman" w:hAnsi="Times New Roman" w:cs="Times New Roman"/>
          <w:sz w:val="24"/>
          <w:szCs w:val="24"/>
          <w:u w:val="single"/>
          <w:lang w:val="uk-UA"/>
        </w:rPr>
        <w:t>Для довкілля, у тому числі для здоров’я населення</w:t>
      </w:r>
    </w:p>
    <w:p w14:paraId="408874EA" w14:textId="2B3144E2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є комплексним документом,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якого в різній мірі та формі можуть впливати на стан довкілля та здоров’я населення.</w:t>
      </w:r>
    </w:p>
    <w:p w14:paraId="4DFA12BE" w14:textId="6FB168A9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може мати ймовірні наслідки для таких складових навколишнього природного середовища, як ґрунти, ландшафт, повітря, поверхневі води, об’єкти природно-заповідного фонду.</w:t>
      </w:r>
    </w:p>
    <w:p w14:paraId="0DADE5C8" w14:textId="49BC1C18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передбачає аналіз та оцінку ймовірних наслідків та ризиків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як на окремі компоненти довкілля (ґрунти, поверхневі та підземні водні ресурси, повітря, рослинний і тваринний світ), так і на комплексні умови території, а також на здоров’я населення.</w:t>
      </w:r>
    </w:p>
    <w:p w14:paraId="6354EC91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44610A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територій з природоохоронним статусом</w:t>
      </w:r>
    </w:p>
    <w:p w14:paraId="4C045862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території що розглядається відсутні об’єкти природно-заповідного фонду. Також дана територія не межує з територіями природно-заповідного фонду. </w:t>
      </w:r>
    </w:p>
    <w:p w14:paraId="5DBF7C0B" w14:textId="16EC79CC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рамках проведення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буде виконано оцінку відповідності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вимогам чинного законодавства стосовно забезпечення дотримання режиму господарського використання природоохоронних територій, визначених «Схемою формування екологічної мережі Дніпропетровської області» (при наявності такої мережі у зоні впливу детального плану). </w:t>
      </w:r>
    </w:p>
    <w:p w14:paraId="1606A709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44610A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Транскордонні наслідки для довкілля, у тому числі для здоров’я населення</w:t>
      </w:r>
    </w:p>
    <w:p w14:paraId="1842D379" w14:textId="43F688B2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положення території для якої розробляється детальний план транскордонні наслідки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для довкілля, у тому числі здоров’я населення, не очікуються.</w:t>
      </w:r>
    </w:p>
    <w:p w14:paraId="56B77C35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Виправдані альтернативи, які необхідно розглянути, у тому числі якщо детальний план не буде затверджено</w:t>
      </w:r>
    </w:p>
    <w:p w14:paraId="5824E062" w14:textId="6DF066F1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комплексність рішень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, що обумовлюється необхідністю розвитку житлової, громадської забудови, транспортної мережі, головних споруд та мереж інженерної інфраструктури району, розгляд виправданих альтернатив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відбувається в процесі розробки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, що передбачено методологією розробки містобудівної документації.</w:t>
      </w:r>
    </w:p>
    <w:p w14:paraId="19C0F55B" w14:textId="2DE196E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Загальною альтернативою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рішення про розроблення якого прийнято, є його незатвердження. Такий сценарій також буде розглянуто в рамках стратегічної екологічної оцінки.</w:t>
      </w:r>
    </w:p>
    <w:p w14:paraId="1A91712A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14:paraId="58AF0836" w14:textId="0FBEB19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Предметом стратегічної екологічної оцінки є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рішення детального плану, їх потенційний вплив на стан довкілля та здоров’я населення.</w:t>
      </w:r>
    </w:p>
    <w:p w14:paraId="4DDAE30C" w14:textId="6C370FBE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огляду на стратегічний характер такого виду документації як детальний план території ключове значення у виконанні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такого документу мають методи стратегічного аналізу. Насамперед, буде застосований аналіз контексту стратегічного планування, що передбачає встановлення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з іншими документами державного планування та дослідження нормативно-правових умов реалізації рішень детального плану. </w:t>
      </w:r>
    </w:p>
    <w:p w14:paraId="61451E9F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здоров’я населення середовища проживання.</w:t>
      </w:r>
    </w:p>
    <w:p w14:paraId="33B49CBE" w14:textId="6ECC25DA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Оцінка кумулятивних ефектів дозволить оцінити як сукупний вплив кількох об’єктів, так і накладений вплив минулих, поточних, а також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чинників. </w:t>
      </w:r>
    </w:p>
    <w:p w14:paraId="32EDFCD7" w14:textId="1216EDBC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Комплекс методів проведення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розширений та поглиблений в залежності від методологічного досвіду розробників стратегічної екологічної оцінки.</w:t>
      </w:r>
    </w:p>
    <w:p w14:paraId="6F099972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14:paraId="5E50A658" w14:textId="7E58B2A0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на довкілля та стан здоров’я населення, які мають успішні приклади впровадження в інших містах України, у першу чергу щодо:</w:t>
      </w:r>
    </w:p>
    <w:p w14:paraId="570A6897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оптимізації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функціонально-планувальної </w:t>
      </w:r>
      <w:r w:rsidRPr="0044610A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організації комунальних територій та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комунальних, транспортних та інших об’єктів, що є джерелами забруднення навколишнього середовища;</w:t>
      </w:r>
    </w:p>
    <w:p w14:paraId="455B54E7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</w:t>
      </w:r>
      <w:r w:rsidRPr="0044610A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14:paraId="5BD4F8E9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розширення мережі зелених насаджень спеціального призначення; </w:t>
      </w:r>
    </w:p>
    <w:p w14:paraId="145DD811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пропозиції щодо налагодження ефективної системи санітарного очищення території кварталу;</w:t>
      </w:r>
    </w:p>
    <w:p w14:paraId="6F36BA59" w14:textId="77777777" w:rsidR="00897C4E" w:rsidRPr="0044610A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проведення реконструкції споруд та мереж комунальних систем тепло-, електропостачання, водопостачання, водовідведення шляхом впровадження новітніх енергоефективних технологій.</w:t>
      </w:r>
    </w:p>
    <w:p w14:paraId="2197CEB0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Окрім того, повинні бути враховані затверджені заходи, визначені законодавством та нормативно-правовими актами, щодо запобігання, зменшення та пом’якшення загальних негативних впливів на довкілля та стан здоров’я населення.</w:t>
      </w:r>
    </w:p>
    <w:p w14:paraId="57E0EE35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структури та змісту звіту про стратегічну екологічну оцінку.</w:t>
      </w:r>
    </w:p>
    <w:p w14:paraId="6B1F50E7" w14:textId="77777777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>Структура звіту про стратегічну екологічну оцінку визначається статтею 11 Закону України “Про стратегічну екологічну оцінку” і складається з наступних розділів:</w:t>
      </w:r>
    </w:p>
    <w:p w14:paraId="2B6F8C1B" w14:textId="075F49CB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Зміст та основні цілі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CA6C6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міст</w:t>
      </w:r>
      <w:r w:rsidR="00CA6C6C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Дніпр</w:t>
      </w:r>
      <w:r w:rsidR="00CA6C6C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, його зв’язок з іншими документами державного планування;</w:t>
      </w:r>
    </w:p>
    <w:p w14:paraId="715EA7B8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lastRenderedPageBreak/>
        <w:t>Характеристика поточного стану довкілля, у тому числі здоров’я населення, та прогнозні зміни цього стану;</w:t>
      </w:r>
    </w:p>
    <w:p w14:paraId="57553BB9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Характеристика стану довкілля, умов життєдіяльності населення та стану його здоров’я на територіях, які ймовірно зазнають впливу;</w:t>
      </w:r>
    </w:p>
    <w:p w14:paraId="7BE10809" w14:textId="70F71153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 проблеми, у тому числі загальні ризики впливу на здоров’я населення, які стосуються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FE4DB0" w14:textId="028A1D7F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Зобов’язання/вимоги у сфері охорони довкілля, у тому числі пов’язані із запобіганням негативному впливу на здоров’я населення, встановлені на державному та інших рівнях, що стосуються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, а також шляхи врахування таких зобов’язань/вимог під час підготовки документа державного планування;</w:t>
      </w:r>
    </w:p>
    <w:p w14:paraId="70F71BB2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Опис наслідків для довкілля, у тому числі для здоров’я населення;</w:t>
      </w:r>
    </w:p>
    <w:p w14:paraId="52EE75CC" w14:textId="44722AC5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Заходи, що передбачається вжити для запобігання, зменшення та пом’якшення негативних наслідків виконання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2A06E0" w14:textId="77777777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ускладнення;</w:t>
      </w:r>
    </w:p>
    <w:p w14:paraId="64568B33" w14:textId="1FE8C87C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Заходи, передбачені для здійснення моніторингу наслідків виконання </w:t>
      </w:r>
      <w:proofErr w:type="spellStart"/>
      <w:r w:rsidR="0051596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51596B">
        <w:rPr>
          <w:rFonts w:ascii="Times New Roman" w:hAnsi="Times New Roman" w:cs="Times New Roman"/>
          <w:sz w:val="24"/>
          <w:szCs w:val="24"/>
          <w:lang w:val="uk-UA"/>
        </w:rPr>
        <w:t xml:space="preserve"> містобудівної документації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для довкілля, у тому числі для здоров’я населення;</w:t>
      </w:r>
    </w:p>
    <w:p w14:paraId="67271CD6" w14:textId="201D09FF" w:rsidR="00897C4E" w:rsidRPr="0044610A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Розраховане на широку аудиторію резюме нетехнічного характеру звіту про стратегічну екологічну оцінку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. Зміст звіту про стратегічну екологічну оцінку визначається змістом та характером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рішень з урахуванням сучасних знань і методів оцінювання.</w:t>
      </w:r>
    </w:p>
    <w:p w14:paraId="628A1A80" w14:textId="6A0AAE34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Розділ «Охорона навколишнього природного середовища» в обсязі звіту про стратегічну екологічну оцінку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є невід’ємною складовою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Дніпра».</w:t>
      </w:r>
    </w:p>
    <w:p w14:paraId="758F3398" w14:textId="779A438E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610A">
        <w:rPr>
          <w:rFonts w:ascii="Times New Roman" w:hAnsi="Times New Roman" w:cs="Times New Roman"/>
          <w:i/>
          <w:sz w:val="24"/>
          <w:szCs w:val="24"/>
          <w:lang w:val="uk-UA" w:eastAsia="uk-UA"/>
        </w:rPr>
        <w:t>Обласні та міські органи виконавчої влади, що реалізують державну політику у сфері охорони навколишнього природного середовища та реалізують державну політику у сфері охорони здоров’я (відповідні підрозділи з питань охорони навколишнього природного середовища та з питань охорони здоров’я),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строк, що не перевищує 15 днів з дня отримання такої заяви.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інформації, що має бути включена до звіту про стратегічну екологічну оцінку.</w:t>
      </w:r>
    </w:p>
    <w:p w14:paraId="11BB516C" w14:textId="77777777" w:rsidR="00897C4E" w:rsidRPr="0044610A" w:rsidRDefault="00897C4E" w:rsidP="00897C4E">
      <w:pPr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b/>
          <w:sz w:val="24"/>
          <w:szCs w:val="24"/>
          <w:lang w:val="uk-UA"/>
        </w:rPr>
        <w:t>Орган, до якого подаються зауваження і пропозиції, та строки їх подання</w:t>
      </w:r>
    </w:p>
    <w:p w14:paraId="5A2F51CF" w14:textId="7BE126AF" w:rsidR="00897C4E" w:rsidRPr="0044610A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Зауваження і пропозиції до Заяви про визначення обсягу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» подаються до:</w:t>
      </w:r>
    </w:p>
    <w:p w14:paraId="6462472A" w14:textId="77777777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Департаменту по роботі з активами Дніпровської міської ради </w:t>
      </w:r>
    </w:p>
    <w:p w14:paraId="295115B6" w14:textId="77777777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 xml:space="preserve">. Дмитра Яворницького, 75 А, м. Дніпро, 49000,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/>
        </w:rPr>
        <w:t>. (056) 744 31 58, (056) 744 06 23;</w:t>
      </w:r>
    </w:p>
    <w:p w14:paraId="26BABFD6" w14:textId="741EA7DA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- Головне архітектурно-планувальне управління департаменту по роботі з активами Дніпровської міської ради  вул.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Січеславська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Набережна 29А,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м. Дніпро, 49000</w:t>
      </w: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, е-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: </w:t>
      </w:r>
      <w:hyperlink r:id="rId7" w:history="1">
        <w:r w:rsidRPr="0044610A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аrchplan@dmr.dp.ua</w:t>
        </w:r>
      </w:hyperlink>
      <w:r w:rsidRPr="0044610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), </w:t>
      </w:r>
      <w:proofErr w:type="spellStart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. (056) 745 25 29, факс. (056) 744 34 94</w:t>
      </w:r>
    </w:p>
    <w:p w14:paraId="655E2A9D" w14:textId="77777777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</w:p>
    <w:p w14:paraId="6895B9E0" w14:textId="77777777" w:rsidR="00897C4E" w:rsidRPr="0044610A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44610A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- Строки їх подання</w:t>
      </w:r>
      <w:r w:rsidRPr="0044610A">
        <w:rPr>
          <w:rFonts w:ascii="Times New Roman" w:hAnsi="Times New Roman" w:cs="Times New Roman"/>
          <w:i/>
          <w:sz w:val="24"/>
          <w:szCs w:val="24"/>
          <w:lang w:val="uk-UA" w:eastAsia="ru-RU"/>
        </w:rPr>
        <w:t>:</w:t>
      </w:r>
    </w:p>
    <w:p w14:paraId="5308B558" w14:textId="571A4D68" w:rsidR="00897C4E" w:rsidRPr="0044610A" w:rsidRDefault="00897C4E" w:rsidP="00897C4E">
      <w:pPr>
        <w:widowControl w:val="0"/>
        <w:tabs>
          <w:tab w:val="left" w:leader="dot" w:pos="9233"/>
        </w:tabs>
        <w:autoSpaceDE w:val="0"/>
        <w:autoSpaceDN w:val="0"/>
        <w:spacing w:line="240" w:lineRule="auto"/>
        <w:ind w:right="-3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Зауваження та пропозиції до Заяви про визначення обсягу стратегічної екологічної оцінки </w:t>
      </w:r>
      <w:proofErr w:type="spellStart"/>
      <w:r w:rsidR="002F0592" w:rsidRPr="0044610A">
        <w:rPr>
          <w:rFonts w:ascii="Times New Roman" w:hAnsi="Times New Roman" w:cs="Times New Roman"/>
          <w:sz w:val="24"/>
          <w:szCs w:val="24"/>
          <w:lang w:val="uk-UA" w:eastAsia="ru-RU"/>
        </w:rPr>
        <w:t>проєкт</w:t>
      </w: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 w:rsidRPr="0044610A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</w:t>
      </w:r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обмеженого проспектом Дмитра Яворницького, вулицями Харківською, Магдебурзького права, Шолом-</w:t>
      </w:r>
      <w:proofErr w:type="spellStart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Алейхема</w:t>
      </w:r>
      <w:proofErr w:type="spellEnd"/>
      <w:r w:rsidR="00533C23" w:rsidRPr="0044610A">
        <w:rPr>
          <w:rFonts w:ascii="Times New Roman" w:hAnsi="Times New Roman" w:cs="Times New Roman"/>
          <w:sz w:val="24"/>
          <w:szCs w:val="24"/>
          <w:lang w:val="uk-UA" w:eastAsia="uk-UA"/>
        </w:rPr>
        <w:t>, Барикадною (Шевченківський район)</w:t>
      </w:r>
      <w:r w:rsidRPr="0044610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44610A">
        <w:rPr>
          <w:rFonts w:ascii="Times New Roman" w:hAnsi="Times New Roman" w:cs="Times New Roman"/>
          <w:sz w:val="24"/>
          <w:szCs w:val="24"/>
          <w:lang w:val="uk-UA" w:eastAsia="ru-RU"/>
        </w:rPr>
        <w:t>, надаються  протягом 15 днів з дня її оприлюднення</w:t>
      </w:r>
      <w:r w:rsidRPr="004461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B58D56" w14:textId="77777777" w:rsidR="00062F9B" w:rsidRPr="007C62D5" w:rsidRDefault="00062F9B" w:rsidP="00062F9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FC00E0" w14:textId="77777777" w:rsidR="00062F9B" w:rsidRPr="007C62D5" w:rsidRDefault="00062F9B" w:rsidP="00062F9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DBA42AE" w14:textId="77777777" w:rsidR="00062F9B" w:rsidRPr="00326C27" w:rsidRDefault="00062F9B" w:rsidP="00062F9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7E32C04" w14:textId="77777777" w:rsidR="002105B0" w:rsidRPr="0044610A" w:rsidRDefault="002105B0" w:rsidP="00062F9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105B0" w:rsidRPr="0044610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5E6EC" w14:textId="77777777" w:rsidR="003E6ADB" w:rsidRDefault="003E6ADB" w:rsidP="00020D47">
      <w:pPr>
        <w:spacing w:line="240" w:lineRule="auto"/>
      </w:pPr>
      <w:r>
        <w:separator/>
      </w:r>
    </w:p>
  </w:endnote>
  <w:endnote w:type="continuationSeparator" w:id="0">
    <w:p w14:paraId="5E6E99AB" w14:textId="77777777" w:rsidR="003E6ADB" w:rsidRDefault="003E6ADB" w:rsidP="00020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CR A Extended">
    <w:altName w:val="Athelas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BEED" w14:textId="77777777" w:rsidR="003E6ADB" w:rsidRDefault="003E6ADB" w:rsidP="00020D47">
      <w:pPr>
        <w:spacing w:line="240" w:lineRule="auto"/>
      </w:pPr>
      <w:r>
        <w:separator/>
      </w:r>
    </w:p>
  </w:footnote>
  <w:footnote w:type="continuationSeparator" w:id="0">
    <w:p w14:paraId="777C6DE5" w14:textId="77777777" w:rsidR="003E6ADB" w:rsidRDefault="003E6ADB" w:rsidP="00020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E555" w14:textId="77777777" w:rsidR="00020D47" w:rsidRDefault="00020D47" w:rsidP="00617BFC">
    <w:pPr>
      <w:pStyle w:val="a6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B9F1A5" w14:textId="77777777" w:rsidR="00020D47" w:rsidRDefault="00020D47" w:rsidP="00020D4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7FFF" w14:textId="77777777" w:rsidR="00020D47" w:rsidRDefault="00020D47" w:rsidP="00020D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3FA"/>
    <w:multiLevelType w:val="hybridMultilevel"/>
    <w:tmpl w:val="E46ED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15CC7"/>
    <w:multiLevelType w:val="hybridMultilevel"/>
    <w:tmpl w:val="355C8EA6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57752"/>
    <w:multiLevelType w:val="hybridMultilevel"/>
    <w:tmpl w:val="F184EEB4"/>
    <w:lvl w:ilvl="0" w:tplc="19C03CC6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7B65C0F"/>
    <w:multiLevelType w:val="hybridMultilevel"/>
    <w:tmpl w:val="CD8ACD1C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0"/>
    <w:rsid w:val="00020D47"/>
    <w:rsid w:val="000459B1"/>
    <w:rsid w:val="00047DA7"/>
    <w:rsid w:val="000537A8"/>
    <w:rsid w:val="00062F9B"/>
    <w:rsid w:val="00065A07"/>
    <w:rsid w:val="000726B7"/>
    <w:rsid w:val="000B2E90"/>
    <w:rsid w:val="000B5C84"/>
    <w:rsid w:val="0016127D"/>
    <w:rsid w:val="00183D31"/>
    <w:rsid w:val="001F5942"/>
    <w:rsid w:val="00202628"/>
    <w:rsid w:val="002105B0"/>
    <w:rsid w:val="002242FC"/>
    <w:rsid w:val="002278E9"/>
    <w:rsid w:val="00251088"/>
    <w:rsid w:val="002A5CB5"/>
    <w:rsid w:val="002F0592"/>
    <w:rsid w:val="002F7E40"/>
    <w:rsid w:val="00317563"/>
    <w:rsid w:val="00323E2F"/>
    <w:rsid w:val="0033196F"/>
    <w:rsid w:val="00342F8C"/>
    <w:rsid w:val="00352A08"/>
    <w:rsid w:val="003C10A0"/>
    <w:rsid w:val="003C64B2"/>
    <w:rsid w:val="003E6ADB"/>
    <w:rsid w:val="00441164"/>
    <w:rsid w:val="0044610A"/>
    <w:rsid w:val="00486242"/>
    <w:rsid w:val="004908C0"/>
    <w:rsid w:val="004C15AC"/>
    <w:rsid w:val="004D527D"/>
    <w:rsid w:val="00501F00"/>
    <w:rsid w:val="0051596B"/>
    <w:rsid w:val="00533C23"/>
    <w:rsid w:val="00557662"/>
    <w:rsid w:val="00574093"/>
    <w:rsid w:val="00597968"/>
    <w:rsid w:val="005B4374"/>
    <w:rsid w:val="005C5768"/>
    <w:rsid w:val="005D1F86"/>
    <w:rsid w:val="00632897"/>
    <w:rsid w:val="00657F80"/>
    <w:rsid w:val="006660B7"/>
    <w:rsid w:val="00672897"/>
    <w:rsid w:val="006A6195"/>
    <w:rsid w:val="006A7A3C"/>
    <w:rsid w:val="006D0554"/>
    <w:rsid w:val="006F1995"/>
    <w:rsid w:val="006F6EFF"/>
    <w:rsid w:val="00706974"/>
    <w:rsid w:val="00786C0B"/>
    <w:rsid w:val="00796CEF"/>
    <w:rsid w:val="007E6BB6"/>
    <w:rsid w:val="007F7C37"/>
    <w:rsid w:val="00815876"/>
    <w:rsid w:val="00831D40"/>
    <w:rsid w:val="00894BF8"/>
    <w:rsid w:val="00897C4E"/>
    <w:rsid w:val="008F6B55"/>
    <w:rsid w:val="00911E02"/>
    <w:rsid w:val="0091732A"/>
    <w:rsid w:val="009954A4"/>
    <w:rsid w:val="0099723D"/>
    <w:rsid w:val="00A114DD"/>
    <w:rsid w:val="00A21C8A"/>
    <w:rsid w:val="00A36730"/>
    <w:rsid w:val="00A80FFD"/>
    <w:rsid w:val="00A9402E"/>
    <w:rsid w:val="00AB1FEB"/>
    <w:rsid w:val="00AC07D8"/>
    <w:rsid w:val="00AD3A61"/>
    <w:rsid w:val="00B114EC"/>
    <w:rsid w:val="00B443D4"/>
    <w:rsid w:val="00B4665D"/>
    <w:rsid w:val="00B527B9"/>
    <w:rsid w:val="00B72D29"/>
    <w:rsid w:val="00B853F3"/>
    <w:rsid w:val="00BB1EEE"/>
    <w:rsid w:val="00BD3F10"/>
    <w:rsid w:val="00BD614D"/>
    <w:rsid w:val="00BE21C3"/>
    <w:rsid w:val="00BF2A31"/>
    <w:rsid w:val="00C279A7"/>
    <w:rsid w:val="00C357E9"/>
    <w:rsid w:val="00C563C4"/>
    <w:rsid w:val="00C56853"/>
    <w:rsid w:val="00C6653F"/>
    <w:rsid w:val="00CA6C6C"/>
    <w:rsid w:val="00CC51FF"/>
    <w:rsid w:val="00CF4D5E"/>
    <w:rsid w:val="00D243BA"/>
    <w:rsid w:val="00D27291"/>
    <w:rsid w:val="00D54356"/>
    <w:rsid w:val="00DA628D"/>
    <w:rsid w:val="00E635A5"/>
    <w:rsid w:val="00E6377C"/>
    <w:rsid w:val="00EE0F54"/>
    <w:rsid w:val="00EE2ABC"/>
    <w:rsid w:val="00EF4087"/>
    <w:rsid w:val="00F0379D"/>
    <w:rsid w:val="00F11929"/>
    <w:rsid w:val="00F3655F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7937"/>
  <w15:chartTrackingRefBased/>
  <w15:docId w15:val="{97424053-6FD9-48CD-8119-3CBDBA9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5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897C4E"/>
    <w:rPr>
      <w:color w:val="auto"/>
      <w:u w:val="single"/>
    </w:rPr>
  </w:style>
  <w:style w:type="character" w:styleId="a5">
    <w:name w:val="Strong"/>
    <w:qFormat/>
    <w:rsid w:val="00897C4E"/>
    <w:rPr>
      <w:b/>
    </w:rPr>
  </w:style>
  <w:style w:type="paragraph" w:styleId="a6">
    <w:name w:val="header"/>
    <w:basedOn w:val="a"/>
    <w:link w:val="a7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D47"/>
  </w:style>
  <w:style w:type="paragraph" w:styleId="a8">
    <w:name w:val="footer"/>
    <w:basedOn w:val="a"/>
    <w:link w:val="a9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47"/>
  </w:style>
  <w:style w:type="character" w:styleId="aa">
    <w:name w:val="page number"/>
    <w:basedOn w:val="a0"/>
    <w:uiPriority w:val="99"/>
    <w:semiHidden/>
    <w:unhideWhenUsed/>
    <w:rsid w:val="0002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2;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Мішарін В.М.</cp:lastModifiedBy>
  <cp:revision>77</cp:revision>
  <cp:lastPrinted>2020-08-27T07:52:00Z</cp:lastPrinted>
  <dcterms:created xsi:type="dcterms:W3CDTF">2020-05-06T11:56:00Z</dcterms:created>
  <dcterms:modified xsi:type="dcterms:W3CDTF">2021-07-19T11:45:00Z</dcterms:modified>
</cp:coreProperties>
</file>