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92" w:rsidRPr="00AE69A4" w:rsidRDefault="002F0592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C4E" w:rsidRPr="00AE69A4" w:rsidRDefault="00897C4E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9A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97C4E" w:rsidRPr="00AE69A4" w:rsidRDefault="00897C4E" w:rsidP="00897C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9A4"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 ОБСЯГУ СТРАТЕГІЧНОЇ ЕКОЛОГІЧНОЇ ОЦІНКИ</w:t>
      </w:r>
    </w:p>
    <w:p w:rsidR="00897C4E" w:rsidRPr="00AE69A4" w:rsidRDefault="002F0592" w:rsidP="00897C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9A4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="00897C4E" w:rsidRPr="00AE69A4">
        <w:rPr>
          <w:rFonts w:ascii="Times New Roman" w:hAnsi="Times New Roman" w:cs="Times New Roman"/>
          <w:b/>
          <w:sz w:val="28"/>
          <w:szCs w:val="28"/>
          <w:lang w:val="uk-UA"/>
        </w:rPr>
        <w:t>у «</w:t>
      </w:r>
      <w:r w:rsidR="00897C4E" w:rsidRPr="00AE69A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Детальний план території кварталу, обмеженого </w:t>
      </w:r>
      <w:r w:rsidRPr="00AE69A4">
        <w:rPr>
          <w:rFonts w:ascii="Times New Roman" w:hAnsi="Times New Roman" w:cs="Times New Roman"/>
          <w:b/>
          <w:sz w:val="28"/>
          <w:szCs w:val="28"/>
          <w:lang w:val="uk-UA" w:eastAsia="uk-UA"/>
        </w:rPr>
        <w:t>бульв. Катеринославським, просп. Дмитра Яворницького, вул. Гоголя, вул. Шевченка (Соборний район)</w:t>
      </w:r>
      <w:r w:rsidR="00897C4E" w:rsidRPr="00AE69A4">
        <w:rPr>
          <w:rFonts w:ascii="Times New Roman" w:hAnsi="Times New Roman" w:cs="Times New Roman"/>
          <w:b/>
          <w:sz w:val="28"/>
          <w:szCs w:val="28"/>
          <w:lang w:val="uk-UA" w:eastAsia="uk-UA"/>
        </w:rPr>
        <w:t>» у місті Дніпрі.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69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Замовник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по роботі з активами Дніпровської міської ради (підстава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F0592" w:rsidRPr="00AE69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Дніпровської міської ради від </w:t>
      </w:r>
      <w:r w:rsidR="002F0592" w:rsidRPr="00AE69A4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24.03.2021 № 383/5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 “Про надання дозволу на розроблення детального плану території кварталу, обмеженого бульв. Катеринославським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, просп. Дмитра Яворницького, вул. Гоголя, вул. Шевченка (Соборний район)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/>
          <w:sz w:val="24"/>
          <w:szCs w:val="24"/>
          <w:lang w:val="uk-UA"/>
        </w:rPr>
        <w:t>Вид та основні цілі документа державного планування, його зв’язок з іншими документами державного планування.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є видом містобудівної документації на місцевому рівні, призначеної для уточнення рішень генерального плану міста та визначає довгострокову стратегію планування та забудови території в межах детального плану. Детальний план території розробляється на виконання статті 17 Закону України «Про регулювання містобудівної діяльності».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Склад та зміст детального плану визначається ДБН Б.1.1-14:2012 «Склад та зміст детального плану території». Рішення детального плану мають відповідати основним рішенням затвердженого генерального плану, вимогам ДБН Б.2.2-12:2018 «Планування та забудова територій», ДСП 173 – 96 «Державні санітарні правила планування та забудови населених пунктів», а також широкого кола інших державних будівельних норм та державних стандартів України.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визначає принципи і напрямки планувальної організації та функціонального призначення території, згідно рішень генерального плану міста, формування системи громадського обслуговування населення, організації вулично-дорожньої та транспортної мережі, інженерного обладнання, інженерної підготовки і благоустрою, цивільного захисту території та населення від небезпечних природних і техногенних процесів, охорони навколишнього природного середовища, охорони та збереження культурної спадщини та традиційного характеру середовища історичних населених пунктів, а також послідовність реалізації рішень, у тому числі етапність освоєння території.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Дніпра,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розробляється на виконання рішення Дніпровської міської ради від </w:t>
      </w:r>
      <w:r w:rsidRPr="00AE69A4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22.04.2020 №209/56</w:t>
      </w:r>
    </w:p>
    <w:p w:rsidR="00897C4E" w:rsidRPr="00AE69A4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розробляється у розвиток рішень генерального плану міста Дніпр</w:t>
      </w:r>
      <w:r w:rsidR="00AE69A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, Генеральної схеми планування території України та Схеми планування території області (СПТ Дніпропетровської області (ДП «ДІПРОМІСТО», Київ, 2009 р.). </w:t>
      </w:r>
    </w:p>
    <w:p w:rsidR="00897C4E" w:rsidRPr="00AE69A4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розроблені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 враховуються також стратегії і програми економічного, екологічного, соціального розвитку; наявна чинна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на документація; спеціалізовані схеми,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и і програми що діють в населеному пункту, в тому числі: </w:t>
      </w:r>
    </w:p>
    <w:p w:rsidR="00897C4E" w:rsidRPr="00AE69A4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Цілі сталого розвитку: Дніпро – 2030, «Регіональна доповідь»;</w:t>
      </w:r>
    </w:p>
    <w:p w:rsidR="00897C4E" w:rsidRPr="00AE69A4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Стратегія розвитку Дніпропетровської області;</w:t>
      </w:r>
    </w:p>
    <w:p w:rsidR="00897C4E" w:rsidRPr="00AE69A4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Комплексна програма охорони навколишнього природного середовища м. Дніпра;</w:t>
      </w:r>
    </w:p>
    <w:p w:rsidR="00897C4E" w:rsidRPr="00AE69A4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Питна вода м. Дніпра;</w:t>
      </w:r>
    </w:p>
    <w:p w:rsidR="00897C4E" w:rsidRPr="00AE69A4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Стратегія </w:t>
      </w:r>
      <w:r w:rsidRPr="00AE69A4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поводження з твердими побутовими відходами (у рамках реалізації обласної комплексної програми (стратегії) екологічної безпеки та запобігання змінам клімату; </w:t>
      </w:r>
    </w:p>
    <w:p w:rsidR="00897C4E" w:rsidRPr="00AE69A4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 w:rsidRPr="00AE69A4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Екологічний паспорт м. Дніпра – 2016 р</w:t>
      </w:r>
      <w:r w:rsidR="002F0592" w:rsidRPr="00AE69A4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AE69A4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897C4E" w:rsidRPr="00AE69A4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Регіональна доповідь про стан 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 в Дніпропетровській області;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/>
          <w:sz w:val="24"/>
          <w:szCs w:val="24"/>
          <w:lang w:val="uk-UA"/>
        </w:rPr>
        <w:t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Розроблення детального плану передбачає формування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них рішень відповідно Завдання на розроблення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у.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ні рішення охоплюють усі види діяльності, які провадяться або провадження яких заплановане в перспективі на території в межах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ування. Детальний план визначає планувальну структуру та потужність об’єктів що пропонуються до розташовування, згідно з функціональним призначенням території визначеним генеральним планом міста.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обґрунтовує потужність об’єктів комунально-побутового обслуговування, можливого розташування дошкільних та шкільних закладів, зон відпочинку, та інше що виникає на підставі аналізу техніко-економічних показників існуючого використання території, демографічного прогнозу, та потреб територіального розвитку населеного пункту визначеного генеральним планом.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ні рішення архітектурно-планувальної організації та потреби територіального розвитку міста обумовлюються в тому числі Завданням на розроблення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у, державними інтересами. Одночасно детальний план не змінює існуюче функціональне використання окремих земельних ділянок та їх категорій, а лише створює умови для наступної такої зміни на підставі Плану зонування території та Законів України.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Таким чином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 визначає територіальні (просторові) умови для реалізації видів діяльності або об’єктів, щодо яких законодавством передбачено здійснення процедури оцінки впливу на довкілля, в частині дотримання планувальних обмежень (санітарно-захисних зон, охоронних зон, природоохоронних зон), а також в частині дотримання режимів господарської діяльності в їх межах, які визначені законодавством України та низкою нормативно-правових актів у сфері забезпечення норм санітарної гігієни та охорони навколишнього природного середовища на території населених пунктів. 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Головними екологічними проблеми, що мають відношення до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є: утворення та поводження з твердими побутовими відходами; використання природних рослинних ресурсів та розвиток зеленого господарства міста; забруднення атмосферного повітря в зоні впливу магістральних вулиць; наявність порушених ділянок, в тому числі, що зазнали техногенного впливу в наслідок господарської діяльності.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Цілями охорони довкілля, у тому числі здоров’я населення, при реалізації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них рішень є: зменшення техногенного навантаження на геологічне та ґрунтове середовище; забезпечення сприятливих умов для життя та відпочинку населення; зменшення забруднення атмосферного повітря в зоні впливу магістральних вулиць; створення передумов більш ефективного господарського використання земельних ресурсів населеного пункту.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сфери охоплення стратегічної екологічної оцінки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 відноситься оцінка наслідків для довкілля, у тому числі для здоров’я населення, від реалізації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них рішень.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Стратегічна екологічна оцінка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 детального плану здійснюється для території що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ується, яка визначається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ними межами детального плану.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Для досягнення цілей стратегічної екологічної оцінки будуть зібрані та використані наступні вихідні дані: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1. Регіональна доповідь про стан навколишнього природного середовища у Дніпропетровській області (частина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 яка стосується територій що межують з територіями детального плану);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2. Статистичний щорічник Дніпропетровської області;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3. Законодавчі акти, які мають відношення до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детального плану;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4. Статистичний щорічник міста Дніпр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Закон України «Про регулювання містобудівної діяльності» від 17.02.2011 р. №3038-VІ із змінами;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Закон України «Про внесення змін до статті 8 Закону України «Про автомобільні дороги» щодо класифікації автомобільних доріг загального користування» від 20.12. 2011 р. № 4203-VІ;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Закон України «Про Концепцію сталого розвитку населених пунктів» від 28.12.1998 р. №2349;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Земельний кодекс України від 25.10.2001 р. № 2768-ІІІ (із змінами);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Закон України "Про охорону атмосферного повітря";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Закон України "Про відходи";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Закон України "Про екологічну мережу України";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Закон України "Про забезпечення санітарного та епідемічного благополуччя населення";</w:t>
      </w:r>
    </w:p>
    <w:p w:rsidR="00897C4E" w:rsidRPr="00AE69A4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низка інших законодавчих та підзаконних актів в сфері охорони довкілля, розміщення та експлуатації об’єктів та мереж інженерної та транспортної інфраструктури.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5. Дані моніторингу стану довкілля, що здійснюється існуючими державними суб’єктами моніторингу довкілля на регіональному та місцевому рівні.</w:t>
      </w:r>
    </w:p>
    <w:p w:rsidR="002F0592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            6. Матеріали Генерального плану міста.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7. Інші доступні джерела інформації.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/>
          <w:sz w:val="24"/>
          <w:szCs w:val="24"/>
          <w:lang w:val="uk-UA"/>
        </w:rPr>
        <w:t>Ймовірні наслідки: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Pr="00AE69A4">
        <w:rPr>
          <w:rFonts w:ascii="Times New Roman" w:hAnsi="Times New Roman" w:cs="Times New Roman"/>
          <w:sz w:val="24"/>
          <w:szCs w:val="24"/>
          <w:u w:val="single"/>
          <w:lang w:val="uk-UA"/>
        </w:rPr>
        <w:t>Для довкілля, у тому числі для здоров’я населення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є комплексним документом,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ні рішення якого в різній мірі та формі можуть впливати на стан довкілля та здоров’я населення.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них рішень може мати ймовірні наслідки для таких складових навколишнього природного середовища, як ґрунти, ландшафт, повітря, поверхневі води, об’єкти природно-заповідного фонду.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Виконання стратегічної екологічної оцінки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 детального плану передбачає аналіз та оцінку ймовірних наслідків та ризиків реалізації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них рішень як на окремі компоненти довкілля (ґрунти, поверхневі та підземні водні ресурси, повітря, рослинний і тваринний світ), так і на комплексні умови території, а також на здоров’я населення.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Pr="00AE69A4">
        <w:rPr>
          <w:rFonts w:ascii="Times New Roman" w:hAnsi="Times New Roman" w:cs="Times New Roman"/>
          <w:sz w:val="24"/>
          <w:szCs w:val="24"/>
          <w:u w:val="single"/>
          <w:lang w:val="uk-UA"/>
        </w:rPr>
        <w:t>Для територій з природоохоронним статусом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території що розглядається відсутні об’єкти природно-заповідного фонду. Також дана територія не межує з територіями природно-заповідного фонду. 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рамках проведення стратегічної екологічної оцінки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 буде виконано оцінку відповідності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них рішень вимогам чинного законодавства стосовно забезпечення дотримання режиму господарського використання природоохоронних територій, визначених «Схемою формування екологічної мережі Дніпропетровської області» (при наявності такої мережі у зоні впливу детального плану). 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AE69A4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Транскордонні наслідки для довкілля, у тому числі для здоров’я населення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положення території для якої розробляється детальний план транскордонні наслідки реалізації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них рішень для довкілля, у тому числі здоров’я населення, не очікуються.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/>
          <w:sz w:val="24"/>
          <w:szCs w:val="24"/>
          <w:lang w:val="uk-UA"/>
        </w:rPr>
        <w:t>Виправдані альтернативи, які необхідно розглянути, у тому числі якщо детальний план не буде затверджено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комплексність рішень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у, що обумовлюється необхідністю розвитку житлової, громадської забудови, транспортної мережі, головних споруд та мереж інженерної інфраструктури району, розгляд виправданих альтернатив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них рішень відбувається в процесі розробки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у, що передбачено методологією розробки містобудівної документації.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Загальною альтернативою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детального плану рішення про розроблення якого прийнято, є його незатвердження. Такий сценарій також буде розглянуто в рамках стратегічної екологічної оцінки.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/>
          <w:sz w:val="24"/>
          <w:szCs w:val="24"/>
          <w:lang w:val="uk-UA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Предметом стратегічної екологічної оцінки є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ні рішення детального плану, їх потенційний вплив на стан довкілля та здоров’я населення.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огляду на стратегічний характер такого виду документації як детальний план території ключове значення у виконанні стратегічної екологічної оцінки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 такого документу мають методи стратегічного аналізу. Насамперед, буде застосований аналіз контексту стратегічного планування, що передбачає встановлення зв’язків з іншими документами державного планування та дослідження нормативно-правових умов реалізації рішень детального плану. 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здоров’я населення середовища проживання.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Оцінка кумулятивних ефектів дозволить оцінити як сукупний вплив кількох об’єктів, так і накладений вплив минулих, поточних, а також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них чинників. 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Комплекс методів проведення стратегічної екологічної оцінки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може бути розширений та поглиблений в залежності від методологічного досвіду розробників стратегічної екологічної оцінки.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/>
          <w:sz w:val="24"/>
          <w:szCs w:val="24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них рішень на довкілля та стан здоров’я населення, які мають успішні приклади впровадження в інших містах України, у першу чергу щодо:</w:t>
      </w:r>
    </w:p>
    <w:p w:rsidR="00897C4E" w:rsidRPr="00AE69A4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оптимізації 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функціонально-планувальної </w:t>
      </w:r>
      <w:r w:rsidRPr="00AE69A4">
        <w:rPr>
          <w:rFonts w:ascii="Times New Roman" w:hAnsi="Times New Roman" w:cs="Times New Roman"/>
          <w:bCs/>
          <w:sz w:val="24"/>
          <w:szCs w:val="24"/>
          <w:lang w:val="uk-UA"/>
        </w:rPr>
        <w:t>організації комунальних територій та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їх санітарно-гігієнічної сумісності з житловою та громадською забудовою, дотримання нормативних санітарно-захисних зон та відстаней від комунальних, транспортних та інших об’єктів, що є джерелами забруднення навколишнього середовища;</w:t>
      </w:r>
    </w:p>
    <w:p w:rsidR="00897C4E" w:rsidRPr="00AE69A4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вдосконалення та подальшого розвитку транспортної мережі міста з урахуванням необхідності забезпечення протишумового захисту та дотримання нормативних санітарних розривів</w:t>
      </w:r>
      <w:r w:rsidRPr="00AE69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897C4E" w:rsidRPr="00AE69A4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розширення мережі зелених насаджень спеціального призначення; </w:t>
      </w:r>
    </w:p>
    <w:p w:rsidR="00897C4E" w:rsidRPr="00AE69A4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пропозиції щодо налагодження ефективної системи санітарного очищення території кварталу;</w:t>
      </w:r>
    </w:p>
    <w:p w:rsidR="00897C4E" w:rsidRPr="00AE69A4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проведення реконструкції споруд та мереж комунальних систем тепло-, електропостачання, водопостачання, водовідведення шляхом впровадження новітніх енергоефективних технологій.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Окрім того, повинні бути враховані затверджені заходи, визначені законодавством та нормативно-правовими актами, щодо запобігання, зменшення та пом’якшення загальних негативних впливів на довкілля та стан здоров’я населення.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/>
          <w:sz w:val="24"/>
          <w:szCs w:val="24"/>
          <w:lang w:val="uk-UA"/>
        </w:rPr>
        <w:t>Пропозиції щодо структури та змісту звіту про стратегічну екологічну оцінку.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>Структура звіту про стратегічну екологічну оцінку визначається статтею 11 Закону України “Про стратегічну екологічну оцінку” і складається з наступних розділів: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Зміст та основні цілі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, його зв’язок з іншими документами державного планування;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Характеристика поточного стану довкілля, у тому числі здоров’я населення, та прогнозні зміни цього стану;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Характеристика стану довкілля, умов життєдіяльності населення та стану його здоров’я на територіях, які ймовірно зазнають впливу;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 проблеми, у тому числі загальні ризики впливу на здоров’я населення, які стосуються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Зобов’язання/вимоги у сфері охорони довкілля, у тому числі пов’язані із запобіганням негативному впливу на здоров’я населення, встановлені на державному та інших рівнях, що стосуються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, а також шляхи врахування таких зобов’язань/вимог під час підготовки документа державного планування;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Опис наслідків для довкілля, у тому числі для здоров’я населення;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Заходи, що передбачається вжити для запобігання, зменшення та пом’якшення негативних наслідків виконання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Заходи, передбачені для здійснення моніторингу наслідків виконання </w:t>
      </w:r>
      <w:r w:rsidR="00C942D5" w:rsidRPr="00AE69A4">
        <w:rPr>
          <w:rFonts w:ascii="Times New Roman" w:hAnsi="Times New Roman" w:cs="Times New Roman"/>
          <w:sz w:val="24"/>
          <w:szCs w:val="24"/>
          <w:lang w:val="uk-UA"/>
        </w:rPr>
        <w:t>проєкту «</w:t>
      </w:r>
      <w:r w:rsidR="00C942D5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обмеженого бульв. Катеринославським, просп. Дмитра Яворницького, вул. Гоголя, вул. Шевченка (Соборний район) міста Дніпра»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 для довкілля, у тому числі для здоров’я населення;</w:t>
      </w:r>
    </w:p>
    <w:p w:rsidR="00897C4E" w:rsidRPr="00AE69A4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Розраховане на широку аудиторію резюме нетехнічного характеру звіту про стратегічну екологічну оцінку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. Зміст звіту про стратегічну екологічну оцінку визначається змістом та характером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них рішень з урахуванням сучасних знань і методів оцінювання.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Розділ «Охорона навколишнього природного середовища» в обсязі звіту про стратегічну екологічну оцінку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 xml:space="preserve">у є невід’ємною складовою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Дніпра».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bookmarkStart w:id="0" w:name="_GoBack"/>
      <w:bookmarkEnd w:id="0"/>
      <w:r w:rsidRPr="00AE69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69A4">
        <w:rPr>
          <w:rFonts w:ascii="Times New Roman" w:hAnsi="Times New Roman" w:cs="Times New Roman"/>
          <w:i/>
          <w:sz w:val="24"/>
          <w:szCs w:val="24"/>
          <w:lang w:val="uk-UA" w:eastAsia="uk-UA"/>
        </w:rPr>
        <w:t>Обласні та міські  органи виконавчої влади, що реалізують державну політику у сфері охорони навколишнього природного середовища та реалізують державну політику у сфері охорони здоров’я (відповідні підрозділи з питань охорони навколишнього природного середовища та з питань охорони здоров’я),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строк, що не перевищує 15 днів з дня отримання такої заяви.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інформації, що має бути включена до звіту про стратегічну екологічну оцінку.</w:t>
      </w:r>
    </w:p>
    <w:p w:rsidR="00897C4E" w:rsidRPr="00AE69A4" w:rsidRDefault="00897C4E" w:rsidP="00897C4E">
      <w:pPr>
        <w:keepLine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b/>
          <w:sz w:val="24"/>
          <w:szCs w:val="24"/>
          <w:lang w:val="uk-UA"/>
        </w:rPr>
        <w:t>Орган, до якого подаються зауваження і пропозиції, та строки їх подання</w:t>
      </w:r>
    </w:p>
    <w:p w:rsidR="00897C4E" w:rsidRPr="00AE69A4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Зауваження і пропозиції до Заяви про визначення обсягу стратегічної екологічної оцінки </w:t>
      </w:r>
      <w:r w:rsidR="002F0592" w:rsidRPr="00AE69A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» подаються до:</w:t>
      </w:r>
    </w:p>
    <w:p w:rsidR="00897C4E" w:rsidRPr="00AE69A4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>- Департаменту по роботі з активами Дніпровської міської ради</w:t>
      </w:r>
      <w:r w:rsidR="00AE69A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897C4E" w:rsidRPr="00AE69A4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/>
        </w:rPr>
        <w:t>просп. Дмитра Яворницького, 75 А, м. Дніпро, 49000, тел. (056) 744 31 58, (056) 744 06 23;</w:t>
      </w:r>
    </w:p>
    <w:p w:rsidR="00AE69A4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>- Головн</w:t>
      </w:r>
      <w:r w:rsidR="00C942D5"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архітектурно-планувальн</w:t>
      </w:r>
      <w:r w:rsidR="00C942D5"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управління департаменту по роботі з активами Дніпровської міської ради  вул. Січеславська Набережна 29А, 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м. Дніпро, 49000</w:t>
      </w:r>
      <w:r w:rsidR="00AE69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897C4E" w:rsidRPr="00AE69A4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>е-mail: </w:t>
      </w:r>
      <w:hyperlink r:id="rId7" w:history="1">
        <w:r w:rsidRPr="00AE69A4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аrchplan@dmr.dp.ua</w:t>
        </w:r>
      </w:hyperlink>
      <w:r w:rsidRPr="00AE69A4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), </w:t>
      </w: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>тел. (056) 745 25 29, факс. (056) 744 34 94</w:t>
      </w:r>
    </w:p>
    <w:p w:rsidR="00897C4E" w:rsidRPr="00AE69A4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</w:p>
    <w:p w:rsidR="00897C4E" w:rsidRPr="00AE69A4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AE69A4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- Строки їх подання</w:t>
      </w:r>
      <w:r w:rsidRPr="00AE69A4">
        <w:rPr>
          <w:rFonts w:ascii="Times New Roman" w:hAnsi="Times New Roman" w:cs="Times New Roman"/>
          <w:i/>
          <w:sz w:val="24"/>
          <w:szCs w:val="24"/>
          <w:lang w:val="uk-UA" w:eastAsia="ru-RU"/>
        </w:rPr>
        <w:t>:</w:t>
      </w:r>
    </w:p>
    <w:p w:rsidR="00897C4E" w:rsidRPr="00AE69A4" w:rsidRDefault="00897C4E" w:rsidP="00897C4E">
      <w:pPr>
        <w:widowControl w:val="0"/>
        <w:tabs>
          <w:tab w:val="left" w:leader="dot" w:pos="9233"/>
        </w:tabs>
        <w:autoSpaceDE w:val="0"/>
        <w:autoSpaceDN w:val="0"/>
        <w:spacing w:line="240" w:lineRule="auto"/>
        <w:ind w:right="-36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Зауваження  та пропозиції до Заяви про визначення обсягу стратегічної екологічної оцінки 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ru-RU"/>
        </w:rPr>
        <w:t>проєкт</w:t>
      </w: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AE69A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AE69A4">
        <w:rPr>
          <w:rFonts w:ascii="Times New Roman" w:hAnsi="Times New Roman" w:cs="Times New Roman"/>
          <w:sz w:val="24"/>
          <w:szCs w:val="24"/>
          <w:lang w:val="uk-UA" w:eastAsia="uk-UA"/>
        </w:rPr>
        <w:t>гобульв. Катеринославським, просп. Дмитра Яворницького, вул. Гоголя, вул. Шевченка (Соборний район)</w:t>
      </w:r>
      <w:r w:rsidRPr="00AE69A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AE69A4">
        <w:rPr>
          <w:rFonts w:ascii="Times New Roman" w:hAnsi="Times New Roman" w:cs="Times New Roman"/>
          <w:sz w:val="24"/>
          <w:szCs w:val="24"/>
          <w:lang w:val="uk-UA" w:eastAsia="ru-RU"/>
        </w:rPr>
        <w:t>, надаються  протягом 15 днів з дня її оприлюднення</w:t>
      </w:r>
      <w:r w:rsidRPr="00AE69A4">
        <w:rPr>
          <w:rFonts w:ascii="Times New Roman" w:hAnsi="Times New Roman" w:cs="Times New Roman"/>
          <w:lang w:val="uk-UA"/>
        </w:rPr>
        <w:t>.</w:t>
      </w:r>
    </w:p>
    <w:p w:rsidR="00815876" w:rsidRPr="00AE69A4" w:rsidRDefault="008158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5876" w:rsidRPr="00AE69A4" w:rsidRDefault="00815876">
      <w:pPr>
        <w:rPr>
          <w:rFonts w:ascii="Times New Roman" w:hAnsi="Times New Roman" w:cs="Times New Roman"/>
          <w:sz w:val="28"/>
          <w:szCs w:val="28"/>
        </w:rPr>
      </w:pPr>
    </w:p>
    <w:p w:rsidR="002105B0" w:rsidRPr="009C6F25" w:rsidRDefault="002105B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105B0" w:rsidRPr="009C6F25" w:rsidSect="001F0F0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18" w:rsidRDefault="00514B18" w:rsidP="00020D47">
      <w:pPr>
        <w:spacing w:line="240" w:lineRule="auto"/>
      </w:pPr>
      <w:r>
        <w:separator/>
      </w:r>
    </w:p>
  </w:endnote>
  <w:endnote w:type="continuationSeparator" w:id="1">
    <w:p w:rsidR="00514B18" w:rsidRDefault="00514B18" w:rsidP="00020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18" w:rsidRDefault="00514B18" w:rsidP="00020D47">
      <w:pPr>
        <w:spacing w:line="240" w:lineRule="auto"/>
      </w:pPr>
      <w:r>
        <w:separator/>
      </w:r>
    </w:p>
  </w:footnote>
  <w:footnote w:type="continuationSeparator" w:id="1">
    <w:p w:rsidR="00514B18" w:rsidRDefault="00514B18" w:rsidP="00020D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7" w:rsidRDefault="001F0F0E" w:rsidP="00617BFC">
    <w:pPr>
      <w:pStyle w:val="a6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0D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0D47" w:rsidRDefault="00020D47" w:rsidP="00020D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7" w:rsidRDefault="00020D47" w:rsidP="00020D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3FA"/>
    <w:multiLevelType w:val="hybridMultilevel"/>
    <w:tmpl w:val="E46ED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15CC7"/>
    <w:multiLevelType w:val="hybridMultilevel"/>
    <w:tmpl w:val="355C8EA6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57752"/>
    <w:multiLevelType w:val="hybridMultilevel"/>
    <w:tmpl w:val="F184EEB4"/>
    <w:lvl w:ilvl="0" w:tplc="19C03CC6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7B65C0F"/>
    <w:multiLevelType w:val="hybridMultilevel"/>
    <w:tmpl w:val="CD8ACD1C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0A0"/>
    <w:rsid w:val="00020D47"/>
    <w:rsid w:val="000459B1"/>
    <w:rsid w:val="00047DA7"/>
    <w:rsid w:val="00065A07"/>
    <w:rsid w:val="000726B7"/>
    <w:rsid w:val="000B2E90"/>
    <w:rsid w:val="000B5C84"/>
    <w:rsid w:val="0016127D"/>
    <w:rsid w:val="00183D31"/>
    <w:rsid w:val="001F0F0E"/>
    <w:rsid w:val="001F5942"/>
    <w:rsid w:val="00202628"/>
    <w:rsid w:val="002105B0"/>
    <w:rsid w:val="002242FC"/>
    <w:rsid w:val="002278E9"/>
    <w:rsid w:val="00251088"/>
    <w:rsid w:val="002A5CB5"/>
    <w:rsid w:val="002F0592"/>
    <w:rsid w:val="002F7E40"/>
    <w:rsid w:val="00317563"/>
    <w:rsid w:val="00323E2F"/>
    <w:rsid w:val="00342F8C"/>
    <w:rsid w:val="00352A08"/>
    <w:rsid w:val="003C10A0"/>
    <w:rsid w:val="003C64B2"/>
    <w:rsid w:val="00422BAD"/>
    <w:rsid w:val="00441164"/>
    <w:rsid w:val="00486242"/>
    <w:rsid w:val="004908C0"/>
    <w:rsid w:val="004C15AC"/>
    <w:rsid w:val="004D527D"/>
    <w:rsid w:val="00501F00"/>
    <w:rsid w:val="00514B18"/>
    <w:rsid w:val="00557662"/>
    <w:rsid w:val="00574093"/>
    <w:rsid w:val="00597968"/>
    <w:rsid w:val="005B4374"/>
    <w:rsid w:val="005C5768"/>
    <w:rsid w:val="00632897"/>
    <w:rsid w:val="00657F80"/>
    <w:rsid w:val="006660B7"/>
    <w:rsid w:val="00672897"/>
    <w:rsid w:val="006A6195"/>
    <w:rsid w:val="006A7A3C"/>
    <w:rsid w:val="006D0554"/>
    <w:rsid w:val="006F1995"/>
    <w:rsid w:val="006F6EFF"/>
    <w:rsid w:val="00706974"/>
    <w:rsid w:val="00786C0B"/>
    <w:rsid w:val="00796CEF"/>
    <w:rsid w:val="007E6BB6"/>
    <w:rsid w:val="007F7C37"/>
    <w:rsid w:val="00815876"/>
    <w:rsid w:val="00831D40"/>
    <w:rsid w:val="00894BF8"/>
    <w:rsid w:val="00897C4E"/>
    <w:rsid w:val="008F6B55"/>
    <w:rsid w:val="00911E02"/>
    <w:rsid w:val="0091732A"/>
    <w:rsid w:val="009954A4"/>
    <w:rsid w:val="0099723D"/>
    <w:rsid w:val="009C6F25"/>
    <w:rsid w:val="009D734E"/>
    <w:rsid w:val="00A114DD"/>
    <w:rsid w:val="00A21C8A"/>
    <w:rsid w:val="00A36730"/>
    <w:rsid w:val="00A80FFD"/>
    <w:rsid w:val="00A9402E"/>
    <w:rsid w:val="00AC07D8"/>
    <w:rsid w:val="00AD3A61"/>
    <w:rsid w:val="00AE69A4"/>
    <w:rsid w:val="00B114EC"/>
    <w:rsid w:val="00B443D4"/>
    <w:rsid w:val="00B527B9"/>
    <w:rsid w:val="00B72D29"/>
    <w:rsid w:val="00B853F3"/>
    <w:rsid w:val="00BB1EEE"/>
    <w:rsid w:val="00BD3F10"/>
    <w:rsid w:val="00BD614D"/>
    <w:rsid w:val="00BE21C3"/>
    <w:rsid w:val="00BF2A31"/>
    <w:rsid w:val="00C279A7"/>
    <w:rsid w:val="00C357E9"/>
    <w:rsid w:val="00C563C4"/>
    <w:rsid w:val="00C56853"/>
    <w:rsid w:val="00C6653F"/>
    <w:rsid w:val="00C942D5"/>
    <w:rsid w:val="00CF4D5E"/>
    <w:rsid w:val="00D27291"/>
    <w:rsid w:val="00D54356"/>
    <w:rsid w:val="00D55533"/>
    <w:rsid w:val="00E6377C"/>
    <w:rsid w:val="00EE0F54"/>
    <w:rsid w:val="00EF4087"/>
    <w:rsid w:val="00F0379D"/>
    <w:rsid w:val="00F11929"/>
    <w:rsid w:val="00F3655F"/>
    <w:rsid w:val="00F8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5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897C4E"/>
    <w:rPr>
      <w:color w:val="auto"/>
      <w:u w:val="single"/>
    </w:rPr>
  </w:style>
  <w:style w:type="character" w:styleId="a5">
    <w:name w:val="Strong"/>
    <w:qFormat/>
    <w:rsid w:val="00897C4E"/>
    <w:rPr>
      <w:b/>
    </w:rPr>
  </w:style>
  <w:style w:type="paragraph" w:styleId="a6">
    <w:name w:val="header"/>
    <w:basedOn w:val="a"/>
    <w:link w:val="a7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D47"/>
  </w:style>
  <w:style w:type="paragraph" w:styleId="a8">
    <w:name w:val="footer"/>
    <w:basedOn w:val="a"/>
    <w:link w:val="a9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47"/>
  </w:style>
  <w:style w:type="character" w:styleId="aa">
    <w:name w:val="page number"/>
    <w:basedOn w:val="a0"/>
    <w:uiPriority w:val="99"/>
    <w:semiHidden/>
    <w:unhideWhenUsed/>
    <w:rsid w:val="0002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72;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11407</Words>
  <Characters>6502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Pitko_IV</cp:lastModifiedBy>
  <cp:revision>72</cp:revision>
  <cp:lastPrinted>2021-06-07T08:45:00Z</cp:lastPrinted>
  <dcterms:created xsi:type="dcterms:W3CDTF">2020-05-06T11:56:00Z</dcterms:created>
  <dcterms:modified xsi:type="dcterms:W3CDTF">2021-06-08T08:29:00Z</dcterms:modified>
</cp:coreProperties>
</file>