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object w:dxaOrig="968" w:dyaOrig="1096">
          <v:rect xmlns:o="urn:schemas-microsoft-com:office:office" xmlns:v="urn:schemas-microsoft-com:vml" id="rectole0000000000" style="width:48.400000pt;height:54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000000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000000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8"/>
          <w:shd w:fill="auto" w:val="clear"/>
        </w:rPr>
        <w:t xml:space="preserve">КОМУНАЛЬНЕ ПІДПРИЄМСТВО </w:t>
      </w: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8"/>
          <w:shd w:fill="auto" w:val="clear"/>
        </w:rPr>
        <w:t xml:space="preserve">МУНІЦИПАЛЬНЕ ЖИТЛО</w:t>
      </w: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8"/>
          <w:shd w:fill="auto" w:val="clear"/>
        </w:rPr>
        <w:t xml:space="preserve">дніпровськОЇ  міськОЇ  радИ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9287"/>
      </w:tblGrid>
      <w:tr>
        <w:trPr>
          <w:trHeight w:val="1" w:hRule="atLeast"/>
          <w:jc w:val="left"/>
        </w:trPr>
        <w:tc>
          <w:tcPr>
            <w:tcW w:w="92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просп. Д. Яворницького,75,  м. Дніпро,  49000,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 ЄДРПОУ: 31951093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429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ЗАТВЕРЖУЮ:</w:t>
            </w:r>
          </w:p>
          <w:p>
            <w:pPr>
              <w:spacing w:before="0" w:after="0" w:line="240"/>
              <w:ind w:right="0" w:left="429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429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Коммунального підприємства</w:t>
            </w:r>
          </w:p>
          <w:p>
            <w:pPr>
              <w:spacing w:before="0" w:after="0" w:line="240"/>
              <w:ind w:right="0" w:left="429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Муніципальне житло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429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Дніпровської міської ради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br/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У.М. Шевельова</w:t>
            </w:r>
          </w:p>
          <w:p>
            <w:pPr>
              <w:spacing w:before="0" w:after="0" w:line="240"/>
              <w:ind w:right="0" w:left="429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br/>
              <w:t xml:space="preserve">03.06.2022</w:t>
            </w:r>
          </w:p>
          <w:p>
            <w:pPr>
              <w:spacing w:before="0" w:after="0" w:line="240"/>
              <w:ind w:right="0" w:left="429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М. П.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40" w:line="240"/>
              <w:ind w:right="-1" w:left="0" w:firstLine="709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ТАРИФИ</w:t>
            </w:r>
          </w:p>
          <w:p>
            <w:pPr>
              <w:spacing w:before="0" w:after="40" w:line="240"/>
              <w:ind w:right="-1" w:left="0" w:firstLine="709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Надання послуг з фінансового лізингу</w:t>
            </w:r>
          </w:p>
          <w:p>
            <w:pPr>
              <w:spacing w:before="0" w:after="40" w:line="240"/>
              <w:ind w:right="-1" w:left="0" w:firstLine="709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40" w:line="240"/>
              <w:ind w:right="-1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Тарифи на послугу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Фінансовий лізинг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згідно з Програмою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Муніципальне житло м. Дніпра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2021 – 2025 роки, затвердженої рішенням міської ради від 21.10.2020 № 9/62 </w:t>
            </w:r>
          </w:p>
          <w:p>
            <w:pPr>
              <w:spacing w:before="0" w:after="40" w:line="240"/>
              <w:ind w:right="-1" w:left="0" w:firstLine="70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auto" w:val="clear"/>
        </w:rPr>
      </w:pPr>
    </w:p>
    <w:tbl>
      <w:tblPr/>
      <w:tblGrid>
        <w:gridCol w:w="5061"/>
        <w:gridCol w:w="4187"/>
      </w:tblGrid>
      <w:tr>
        <w:trPr>
          <w:trHeight w:val="1" w:hRule="atLeast"/>
          <w:jc w:val="left"/>
        </w:trPr>
        <w:tc>
          <w:tcPr>
            <w:tcW w:w="50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48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Тарифи надання послуги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Фінансовий лізинг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530"/>
        <w:gridCol w:w="4531"/>
      </w:tblGrid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Валюта фінансування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UAH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Авансовий платіж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менше ніж 25% вартості об’єкту лізингу</w:t>
            </w:r>
          </w:p>
        </w:tc>
      </w:tr>
      <w:tr>
        <w:trPr>
          <w:trHeight w:val="1" w:hRule="atLeast"/>
          <w:jc w:val="left"/>
        </w:trPr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Термін лізингу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20 років, але не більше ніж до досягнення учасником програми пенсійного віку встановленого законодавством України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Оплата лізингових платежів -  щомісячно;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Графік лізингових платежів – класичний;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Додаткові щомісячні комісії, штрафи за дострокове припинення договору лізингу – немає;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Винагорода лізингодавця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00"/>
        <w:gridCol w:w="5039"/>
        <w:gridCol w:w="2106"/>
        <w:gridCol w:w="2072"/>
      </w:tblGrid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з/п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Категорія лізингоотримувача</w:t>
            </w:r>
          </w:p>
        </w:tc>
        <w:tc>
          <w:tcPr>
            <w:tcW w:w="2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Розрахунок винагороди</w:t>
            </w:r>
          </w:p>
        </w:tc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Лізингова маржа, % річних, розрахована на базі облікової ставки НБУ станом на 21.01.2022 року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Члени сімей загиблих учасників АТО/ООС, які зареєстровані на території 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Дніпра і потребують поліпшення житлових умов</w:t>
            </w:r>
          </w:p>
        </w:tc>
        <w:tc>
          <w:tcPr>
            <w:tcW w:w="2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від  облікової ставки НБУ</w:t>
            </w:r>
          </w:p>
        </w:tc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12,5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Учасники бойових дій в зоні проведення АТО/ООС, які зареєстровані на території 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Дніпра та потребують поліпшення житлових умов, і громадяни України, члени територіальної громади м. Дніпра, які потребують поліпшення житлових умов відповідно до норм чинного законодавства (позачергово та першочергово)</w:t>
            </w:r>
          </w:p>
        </w:tc>
        <w:tc>
          <w:tcPr>
            <w:tcW w:w="2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від облікової ставки НБУ</w:t>
            </w:r>
          </w:p>
        </w:tc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12,5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Працівники установ, організацій та закладів, які утримуються за рахунок коштів державного та міського бюджету, працівники органів місцевого самоврядування, які працюють у міській раді, її виконавчих органах, комунальних підприємствах</w:t>
            </w:r>
          </w:p>
        </w:tc>
        <w:tc>
          <w:tcPr>
            <w:tcW w:w="2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від облікової ставки НБУ</w:t>
            </w:r>
          </w:p>
        </w:tc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25,0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Громадяни України, члени територіальної громади м. Дніпра, (крім визначених в пункті 2 цих Тарифів) 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613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мають відзнаки та/або державні нагороди, відзнаки та/або нагороди Дніпровської (Дніпропетровської) міської ради, Дніпровського (Дніпропетровського) міського голови;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613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є почесними громадянами міста Дніпра (Дніпропетровська);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613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є переможцями всеукраїнських та міжнародних спортивних змагань, культурних конкурсів, освітніх олімпіад та конкурсів;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613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є професорами, заслуженими тренерами України, заслуженими майстрами спорту України, гросмейстерами України, заслуженими та народними артистами України.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від облікової ставки НБУ</w:t>
            </w:r>
          </w:p>
        </w:tc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20,0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Усі інші громадяни України, члени територіальної громади м. Дніпра</w:t>
            </w:r>
          </w:p>
        </w:tc>
        <w:tc>
          <w:tcPr>
            <w:tcW w:w="2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від облікової ставки НБУ</w:t>
            </w:r>
          </w:p>
        </w:tc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37,5</w:t>
            </w:r>
          </w:p>
        </w:tc>
      </w:tr>
      <w:tr>
        <w:trPr>
          <w:trHeight w:val="1" w:hRule="atLeast"/>
          <w:jc w:val="left"/>
        </w:trPr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Внутрішньо переміщені особи з тимчасово окупованих територій і зони АТО/ООС, які тимчасово зареєстровані на території 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Дніпра</w:t>
            </w:r>
          </w:p>
        </w:tc>
        <w:tc>
          <w:tcPr>
            <w:tcW w:w="2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від облікової ставки НБУ</w:t>
            </w:r>
          </w:p>
        </w:tc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12,5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