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8" w:rsidRPr="002B63BA" w:rsidRDefault="00C30BF8" w:rsidP="003B5C44">
      <w:pPr>
        <w:spacing w:after="0" w:line="240" w:lineRule="auto"/>
        <w:jc w:val="both"/>
        <w:rPr>
          <w:rFonts w:ascii="Times New Roman" w:hAnsi="Times New Roman"/>
          <w:color w:val="000000"/>
          <w:sz w:val="28"/>
          <w:szCs w:val="28"/>
        </w:rPr>
      </w:pPr>
      <w:bookmarkStart w:id="0" w:name="_GoBack"/>
      <w:bookmarkEnd w:id="0"/>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lang w:val="uk-UA"/>
        </w:rPr>
      </w:pPr>
    </w:p>
    <w:p w:rsidR="00C30BF8" w:rsidRPr="002B63BA" w:rsidRDefault="00C30BF8" w:rsidP="00BA1491">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rPr>
      </w:pPr>
    </w:p>
    <w:tbl>
      <w:tblPr>
        <w:tblpPr w:leftFromText="180" w:rightFromText="180" w:vertAnchor="text" w:tblpX="56" w:tblpY="76"/>
        <w:tblW w:w="0" w:type="auto"/>
        <w:tblLook w:val="0000" w:firstRow="0" w:lastRow="0" w:firstColumn="0" w:lastColumn="0" w:noHBand="0" w:noVBand="0"/>
      </w:tblPr>
      <w:tblGrid>
        <w:gridCol w:w="4644"/>
      </w:tblGrid>
      <w:tr w:rsidR="00DB54BE" w:rsidRPr="0020319B" w:rsidTr="003B5C44">
        <w:trPr>
          <w:trHeight w:val="900"/>
        </w:trPr>
        <w:tc>
          <w:tcPr>
            <w:tcW w:w="4644" w:type="dxa"/>
          </w:tcPr>
          <w:p w:rsidR="00DB54BE" w:rsidRPr="002B63BA" w:rsidRDefault="00CD2749" w:rsidP="00C224B1">
            <w:pPr>
              <w:tabs>
                <w:tab w:val="left" w:pos="3998"/>
              </w:tabs>
              <w:spacing w:after="0" w:line="240" w:lineRule="auto"/>
              <w:ind w:left="-113" w:right="280"/>
              <w:jc w:val="both"/>
              <w:rPr>
                <w:rFonts w:ascii="Times New Roman" w:hAnsi="Times New Roman"/>
                <w:color w:val="000000"/>
                <w:sz w:val="28"/>
                <w:szCs w:val="28"/>
                <w:lang w:val="uk-UA"/>
              </w:rPr>
            </w:pPr>
            <w:r w:rsidRPr="002B63BA">
              <w:rPr>
                <w:rFonts w:ascii="Times New Roman" w:hAnsi="Times New Roman"/>
                <w:color w:val="000000"/>
                <w:sz w:val="28"/>
                <w:szCs w:val="28"/>
              </w:rPr>
              <w:t>П</w:t>
            </w:r>
            <w:r w:rsidR="005B026D" w:rsidRPr="002B63BA">
              <w:rPr>
                <w:rFonts w:ascii="Times New Roman" w:hAnsi="Times New Roman"/>
                <w:color w:val="000000"/>
                <w:sz w:val="28"/>
                <w:szCs w:val="28"/>
              </w:rPr>
              <w:t>ро</w:t>
            </w:r>
            <w:r w:rsidR="00BA1491">
              <w:rPr>
                <w:rFonts w:ascii="Times New Roman" w:hAnsi="Times New Roman"/>
                <w:color w:val="000000"/>
                <w:sz w:val="28"/>
                <w:szCs w:val="28"/>
              </w:rPr>
              <w:t xml:space="preserve"> </w:t>
            </w:r>
            <w:r w:rsidR="00C224B1">
              <w:rPr>
                <w:rFonts w:ascii="Times New Roman" w:hAnsi="Times New Roman"/>
                <w:color w:val="000000"/>
                <w:sz w:val="28"/>
                <w:szCs w:val="28"/>
                <w:lang w:val="uk-UA"/>
              </w:rPr>
              <w:t xml:space="preserve">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 </w:t>
            </w:r>
          </w:p>
        </w:tc>
      </w:tr>
    </w:tbl>
    <w:p w:rsidR="00524575" w:rsidRPr="002B63BA" w:rsidRDefault="00524575" w:rsidP="00BA1491">
      <w:pPr>
        <w:tabs>
          <w:tab w:val="left" w:pos="4253"/>
        </w:tabs>
        <w:spacing w:after="0" w:line="240" w:lineRule="auto"/>
        <w:ind w:firstLine="709"/>
        <w:jc w:val="both"/>
        <w:rPr>
          <w:rFonts w:ascii="Times New Roman" w:hAnsi="Times New Roman"/>
          <w:sz w:val="28"/>
          <w:szCs w:val="28"/>
          <w:lang w:val="uk-UA"/>
        </w:rPr>
      </w:pPr>
    </w:p>
    <w:p w:rsidR="00524575" w:rsidRPr="002B63BA" w:rsidRDefault="00524575"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tabs>
          <w:tab w:val="clear" w:pos="916"/>
          <w:tab w:val="left" w:pos="4253"/>
        </w:tabs>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C224B1" w:rsidRDefault="00C224B1" w:rsidP="003E4862">
      <w:pPr>
        <w:pStyle w:val="HTML"/>
        <w:shd w:val="clear" w:color="auto" w:fill="FFFFFF"/>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3E398C" w:rsidRDefault="003E398C"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524575" w:rsidRPr="005A53E7" w:rsidRDefault="00695297" w:rsidP="005A53E7">
      <w:pPr>
        <w:pStyle w:val="HTML"/>
        <w:shd w:val="clear" w:color="auto" w:fill="FFFFFF"/>
        <w:ind w:firstLine="709"/>
        <w:jc w:val="both"/>
        <w:textAlignment w:val="baseline"/>
        <w:rPr>
          <w:rFonts w:ascii="Times New Roman" w:eastAsia="Calibri" w:hAnsi="Times New Roman" w:cs="Times New Roman"/>
          <w:color w:val="000000"/>
          <w:sz w:val="28"/>
          <w:szCs w:val="28"/>
          <w:lang w:val="uk-UA" w:eastAsia="en-US"/>
        </w:rPr>
      </w:pPr>
      <w:r>
        <w:rPr>
          <w:rFonts w:ascii="Times New Roman" w:eastAsia="Arial Unicode MS" w:hAnsi="Times New Roman" w:cs="Times New Roman"/>
          <w:color w:val="000000"/>
          <w:kern w:val="2"/>
          <w:sz w:val="28"/>
          <w:szCs w:val="28"/>
          <w:shd w:val="clear" w:color="auto" w:fill="FFFFFF"/>
          <w:lang w:val="uk-UA" w:eastAsia="hi-IN" w:bidi="hi-IN"/>
        </w:rPr>
        <w:t>К</w:t>
      </w:r>
      <w:r w:rsidR="00524575" w:rsidRPr="00C260D1">
        <w:rPr>
          <w:rFonts w:ascii="Times New Roman" w:eastAsia="Arial Unicode MS" w:hAnsi="Times New Roman" w:cs="Times New Roman"/>
          <w:color w:val="000000"/>
          <w:kern w:val="2"/>
          <w:sz w:val="28"/>
          <w:szCs w:val="28"/>
          <w:shd w:val="clear" w:color="auto" w:fill="FFFFFF"/>
          <w:lang w:val="uk-UA" w:eastAsia="hi-IN" w:bidi="hi-IN"/>
        </w:rPr>
        <w:t>ер</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 xml:space="preserve">уючись </w:t>
      </w:r>
      <w:r w:rsidR="001B1838" w:rsidRPr="00C260D1">
        <w:rPr>
          <w:rFonts w:ascii="Times New Roman" w:eastAsia="Arial Unicode MS" w:hAnsi="Times New Roman" w:cs="Times New Roman"/>
          <w:color w:val="000000"/>
          <w:kern w:val="2"/>
          <w:sz w:val="28"/>
          <w:szCs w:val="28"/>
          <w:shd w:val="clear" w:color="auto" w:fill="FFFFFF"/>
          <w:lang w:val="uk-UA" w:eastAsia="hi-IN" w:bidi="hi-IN"/>
        </w:rPr>
        <w:t>Законом України «Про місцеве самоврядування в Україні»</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w:t>
      </w:r>
      <w:r w:rsidR="00C30FD0">
        <w:rPr>
          <w:rFonts w:ascii="Times New Roman" w:eastAsia="Arial Unicode MS" w:hAnsi="Times New Roman" w:cs="Times New Roman"/>
          <w:color w:val="000000"/>
          <w:kern w:val="2"/>
          <w:sz w:val="28"/>
          <w:szCs w:val="28"/>
          <w:shd w:val="clear" w:color="auto" w:fill="FFFFFF"/>
          <w:lang w:val="uk-UA" w:eastAsia="hi-IN" w:bidi="hi-IN"/>
        </w:rPr>
        <w:t xml:space="preserve"> Податковим кодексом України</w:t>
      </w:r>
      <w:r w:rsidR="006A00BF">
        <w:rPr>
          <w:rFonts w:ascii="Times New Roman" w:eastAsia="Arial Unicode MS" w:hAnsi="Times New Roman" w:cs="Times New Roman"/>
          <w:color w:val="000000"/>
          <w:kern w:val="2"/>
          <w:sz w:val="28"/>
          <w:szCs w:val="28"/>
          <w:shd w:val="clear" w:color="auto" w:fill="FFFFFF"/>
          <w:lang w:val="uk-UA" w:eastAsia="hi-IN" w:bidi="hi-IN"/>
        </w:rPr>
        <w:t>, відповідно до</w:t>
      </w:r>
      <w:r w:rsidR="00702708">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листа </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департамент</w:t>
      </w:r>
      <w:r w:rsidR="006A00BF">
        <w:rPr>
          <w:rFonts w:ascii="Times New Roman" w:eastAsia="Arial Unicode MS" w:hAnsi="Times New Roman" w:cs="Times New Roman"/>
          <w:color w:val="000000"/>
          <w:kern w:val="2"/>
          <w:sz w:val="28"/>
          <w:szCs w:val="28"/>
          <w:shd w:val="clear" w:color="auto" w:fill="FFFFFF"/>
          <w:lang w:val="uk-UA" w:eastAsia="hi-IN" w:bidi="hi-IN"/>
        </w:rPr>
        <w:t>у</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 xml:space="preserve"> по роботі з доходами місцевого бюджету Дніпровської міської ради</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 від </w:t>
      </w:r>
      <w:r w:rsidR="00AC21C1">
        <w:rPr>
          <w:rFonts w:ascii="Times New Roman" w:eastAsia="Arial Unicode MS" w:hAnsi="Times New Roman" w:cs="Times New Roman"/>
          <w:color w:val="000000"/>
          <w:kern w:val="2"/>
          <w:sz w:val="28"/>
          <w:szCs w:val="28"/>
          <w:shd w:val="clear" w:color="auto" w:fill="FFFFFF"/>
          <w:lang w:val="uk-UA" w:eastAsia="hi-IN" w:bidi="hi-IN"/>
        </w:rPr>
        <w:t xml:space="preserve">15.03.2021 </w:t>
      </w:r>
      <w:r>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вх. №</w:t>
      </w:r>
      <w:r w:rsidR="00AC21C1">
        <w:rPr>
          <w:rFonts w:ascii="Times New Roman" w:eastAsia="Arial Unicode MS" w:hAnsi="Times New Roman" w:cs="Times New Roman"/>
          <w:color w:val="000000"/>
          <w:kern w:val="2"/>
          <w:sz w:val="28"/>
          <w:szCs w:val="28"/>
          <w:shd w:val="clear" w:color="auto" w:fill="FFFFFF"/>
          <w:lang w:val="uk-UA" w:eastAsia="hi-IN" w:bidi="hi-IN"/>
        </w:rPr>
        <w:t xml:space="preserve"> 8/1408</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 </w:t>
      </w:r>
      <w:r w:rsidR="00524575" w:rsidRPr="00C260D1">
        <w:rPr>
          <w:rFonts w:ascii="Times New Roman" w:eastAsia="Arial Unicode MS" w:hAnsi="Times New Roman" w:cs="Times New Roman"/>
          <w:color w:val="000000"/>
          <w:kern w:val="2"/>
          <w:sz w:val="28"/>
          <w:szCs w:val="28"/>
          <w:shd w:val="clear" w:color="auto" w:fill="FFFFFF"/>
          <w:lang w:val="uk-UA" w:eastAsia="hi-IN" w:bidi="hi-IN"/>
        </w:rPr>
        <w:t>міська</w:t>
      </w:r>
      <w:r w:rsidR="00524575" w:rsidRPr="002B63BA">
        <w:rPr>
          <w:rFonts w:ascii="Times New Roman" w:hAnsi="Times New Roman" w:cs="Times New Roman"/>
          <w:color w:val="000000"/>
          <w:sz w:val="28"/>
          <w:szCs w:val="28"/>
          <w:shd w:val="clear" w:color="auto" w:fill="FFFFFF"/>
          <w:lang w:val="uk-UA"/>
        </w:rPr>
        <w:t xml:space="preserve"> рада</w:t>
      </w:r>
    </w:p>
    <w:p w:rsidR="003E398C" w:rsidRPr="002B63BA" w:rsidRDefault="003E398C" w:rsidP="00BA1491">
      <w:pPr>
        <w:spacing w:after="0" w:line="240" w:lineRule="auto"/>
        <w:rPr>
          <w:rFonts w:ascii="Times New Roman" w:hAnsi="Times New Roman"/>
          <w:color w:val="000000"/>
          <w:sz w:val="28"/>
          <w:szCs w:val="28"/>
          <w:shd w:val="clear" w:color="auto" w:fill="FFFFFF"/>
          <w:lang w:val="uk-UA"/>
        </w:rPr>
      </w:pPr>
    </w:p>
    <w:p w:rsidR="00BA1491" w:rsidRDefault="004E2B39" w:rsidP="006075AD">
      <w:pPr>
        <w:spacing w:after="0" w:line="240" w:lineRule="auto"/>
        <w:jc w:val="center"/>
        <w:rPr>
          <w:rFonts w:ascii="Times New Roman" w:hAnsi="Times New Roman"/>
          <w:caps/>
          <w:sz w:val="28"/>
          <w:szCs w:val="28"/>
          <w:lang w:val="uk-UA"/>
        </w:rPr>
      </w:pPr>
      <w:r w:rsidRPr="006075AD">
        <w:rPr>
          <w:rFonts w:ascii="Times New Roman" w:hAnsi="Times New Roman"/>
          <w:caps/>
          <w:sz w:val="28"/>
          <w:szCs w:val="28"/>
          <w:lang w:val="uk-UA"/>
        </w:rPr>
        <w:t>в и р і ш и Л А:</w:t>
      </w:r>
    </w:p>
    <w:p w:rsidR="006075AD" w:rsidRPr="006075AD" w:rsidRDefault="006075AD" w:rsidP="006075AD">
      <w:pPr>
        <w:spacing w:after="0" w:line="240" w:lineRule="auto"/>
        <w:jc w:val="center"/>
        <w:rPr>
          <w:rFonts w:ascii="Times New Roman" w:hAnsi="Times New Roman"/>
          <w:caps/>
          <w:sz w:val="28"/>
          <w:szCs w:val="28"/>
          <w:lang w:val="uk-UA"/>
        </w:rPr>
      </w:pPr>
    </w:p>
    <w:p w:rsidR="00896223" w:rsidRPr="00612C1B" w:rsidRDefault="00004649" w:rsidP="00B61169">
      <w:pPr>
        <w:pStyle w:val="a3"/>
        <w:numPr>
          <w:ilvl w:val="0"/>
          <w:numId w:val="1"/>
        </w:numPr>
        <w:spacing w:after="0" w:line="240" w:lineRule="auto"/>
        <w:ind w:left="0" w:firstLine="709"/>
        <w:jc w:val="both"/>
        <w:rPr>
          <w:rFonts w:cs="Times New Roman"/>
          <w:bCs/>
          <w:color w:val="000000"/>
          <w:sz w:val="28"/>
          <w:szCs w:val="28"/>
        </w:rPr>
      </w:pPr>
      <w:r w:rsidRPr="006075AD">
        <w:rPr>
          <w:rFonts w:cs="Times New Roman"/>
          <w:sz w:val="28"/>
          <w:szCs w:val="28"/>
        </w:rPr>
        <w:t xml:space="preserve">Внести зміни до рішення міської ради </w:t>
      </w:r>
      <w:r w:rsidR="000249CE" w:rsidRPr="006075AD">
        <w:rPr>
          <w:rFonts w:cs="Times New Roman"/>
          <w:sz w:val="28"/>
          <w:szCs w:val="28"/>
        </w:rPr>
        <w:t xml:space="preserve">від </w:t>
      </w:r>
      <w:r w:rsidR="00DA2391" w:rsidRPr="006075AD">
        <w:rPr>
          <w:rFonts w:cs="Times New Roman"/>
          <w:color w:val="000000"/>
          <w:sz w:val="28"/>
          <w:szCs w:val="28"/>
        </w:rPr>
        <w:t>06.12.2017 № 12/27 «Про ставки та пільги зі сплати податку на нерухоме м</w:t>
      </w:r>
      <w:r w:rsidR="00DA2391" w:rsidRPr="00896223">
        <w:rPr>
          <w:rFonts w:cs="Times New Roman"/>
          <w:color w:val="000000"/>
          <w:sz w:val="28"/>
          <w:szCs w:val="28"/>
        </w:rPr>
        <w:t>айно, відмінне від земельної ділянки, на території міста»</w:t>
      </w:r>
      <w:r w:rsidR="00FB2220" w:rsidRPr="00896223">
        <w:rPr>
          <w:rFonts w:cs="Times New Roman"/>
          <w:color w:val="000000"/>
          <w:sz w:val="28"/>
          <w:szCs w:val="28"/>
        </w:rPr>
        <w:t xml:space="preserve">, </w:t>
      </w:r>
      <w:r w:rsidR="00F738B9">
        <w:rPr>
          <w:rFonts w:cs="Times New Roman"/>
          <w:color w:val="000000"/>
          <w:sz w:val="28"/>
          <w:szCs w:val="28"/>
        </w:rPr>
        <w:t xml:space="preserve">зі змінами, </w:t>
      </w:r>
      <w:r w:rsidR="00FB2220" w:rsidRPr="00896223">
        <w:rPr>
          <w:rFonts w:cs="Times New Roman"/>
          <w:color w:val="000000"/>
          <w:sz w:val="28"/>
          <w:szCs w:val="28"/>
        </w:rPr>
        <w:t>виклавши додатки 1,</w:t>
      </w:r>
      <w:r w:rsidR="009C0F77" w:rsidRPr="00896223">
        <w:rPr>
          <w:rFonts w:cs="Times New Roman"/>
          <w:color w:val="000000"/>
          <w:sz w:val="28"/>
          <w:szCs w:val="28"/>
        </w:rPr>
        <w:t xml:space="preserve"> </w:t>
      </w:r>
      <w:r w:rsidR="00FB2220" w:rsidRPr="00896223">
        <w:rPr>
          <w:rFonts w:cs="Times New Roman"/>
          <w:color w:val="000000"/>
          <w:sz w:val="28"/>
          <w:szCs w:val="28"/>
        </w:rPr>
        <w:t>2 у новій редакції (додаються).</w:t>
      </w:r>
    </w:p>
    <w:p w:rsidR="00612C1B" w:rsidRPr="00612C1B" w:rsidRDefault="00612C1B" w:rsidP="00612C1B">
      <w:pPr>
        <w:pStyle w:val="a3"/>
        <w:spacing w:after="0" w:line="240" w:lineRule="auto"/>
        <w:ind w:left="709"/>
        <w:jc w:val="both"/>
        <w:rPr>
          <w:rFonts w:cs="Times New Roman"/>
          <w:bCs/>
          <w:color w:val="000000"/>
          <w:sz w:val="16"/>
          <w:szCs w:val="16"/>
        </w:rPr>
      </w:pPr>
    </w:p>
    <w:p w:rsidR="006F7292" w:rsidRPr="00896223" w:rsidRDefault="006F7292" w:rsidP="00B61169">
      <w:pPr>
        <w:pStyle w:val="a3"/>
        <w:numPr>
          <w:ilvl w:val="0"/>
          <w:numId w:val="1"/>
        </w:numPr>
        <w:spacing w:after="0" w:line="240" w:lineRule="auto"/>
        <w:ind w:left="0" w:firstLine="709"/>
        <w:jc w:val="both"/>
        <w:rPr>
          <w:rFonts w:cs="Times New Roman"/>
          <w:bCs/>
          <w:color w:val="000000"/>
          <w:sz w:val="28"/>
          <w:szCs w:val="28"/>
        </w:rPr>
      </w:pPr>
      <w:r w:rsidRPr="00896223">
        <w:rPr>
          <w:rFonts w:cs="Times New Roman"/>
          <w:bCs/>
          <w:color w:val="000000"/>
          <w:sz w:val="28"/>
          <w:szCs w:val="28"/>
        </w:rPr>
        <w:t>Установити, що це рішення набирає чинності з 01.01.2022.</w:t>
      </w:r>
    </w:p>
    <w:p w:rsidR="006E73E8" w:rsidRPr="003E398C" w:rsidRDefault="006E73E8" w:rsidP="006E73E8">
      <w:pPr>
        <w:pStyle w:val="a3"/>
        <w:spacing w:line="240" w:lineRule="auto"/>
        <w:ind w:left="709"/>
        <w:jc w:val="both"/>
        <w:rPr>
          <w:rFonts w:cs="Times New Roman"/>
          <w:bCs/>
          <w:color w:val="000000"/>
          <w:sz w:val="16"/>
          <w:szCs w:val="16"/>
        </w:rPr>
      </w:pPr>
    </w:p>
    <w:p w:rsidR="003D6DC6" w:rsidRPr="00896223" w:rsidRDefault="00F738B9" w:rsidP="00B61169">
      <w:pPr>
        <w:pStyle w:val="a3"/>
        <w:numPr>
          <w:ilvl w:val="0"/>
          <w:numId w:val="1"/>
        </w:numPr>
        <w:spacing w:after="0" w:line="240" w:lineRule="auto"/>
        <w:ind w:left="0" w:firstLine="709"/>
        <w:jc w:val="both"/>
        <w:rPr>
          <w:rFonts w:cs="Times New Roman"/>
          <w:bCs/>
          <w:color w:val="000000"/>
          <w:sz w:val="28"/>
          <w:szCs w:val="28"/>
        </w:rPr>
      </w:pPr>
      <w:r>
        <w:rPr>
          <w:rFonts w:cs="Times New Roman"/>
          <w:sz w:val="28"/>
          <w:szCs w:val="28"/>
        </w:rPr>
        <w:t xml:space="preserve">Визнати </w:t>
      </w:r>
      <w:r w:rsidR="003D6DC6" w:rsidRPr="00896223">
        <w:rPr>
          <w:rFonts w:cs="Times New Roman"/>
          <w:sz w:val="28"/>
          <w:szCs w:val="28"/>
        </w:rPr>
        <w:t>такими, що втрачають чинність</w:t>
      </w:r>
      <w:r w:rsidR="00E12831">
        <w:rPr>
          <w:rFonts w:cs="Times New Roman"/>
          <w:sz w:val="28"/>
          <w:szCs w:val="28"/>
        </w:rPr>
        <w:t xml:space="preserve"> з 01.01.2022</w:t>
      </w:r>
      <w:r w:rsidR="00653B56">
        <w:rPr>
          <w:rFonts w:cs="Times New Roman"/>
          <w:sz w:val="28"/>
          <w:szCs w:val="28"/>
        </w:rPr>
        <w:t>,</w:t>
      </w:r>
      <w:r w:rsidR="003D6DC6" w:rsidRPr="00896223">
        <w:rPr>
          <w:rFonts w:cs="Times New Roman"/>
          <w:sz w:val="28"/>
          <w:szCs w:val="28"/>
        </w:rPr>
        <w:t xml:space="preserve"> рішення міської ради:</w:t>
      </w:r>
    </w:p>
    <w:p w:rsidR="003D6DC6" w:rsidRPr="00AC21C1" w:rsidRDefault="003D6DC6" w:rsidP="003D6DC6">
      <w:pPr>
        <w:spacing w:after="0" w:line="240" w:lineRule="auto"/>
        <w:jc w:val="both"/>
        <w:rPr>
          <w:rFonts w:ascii="Times New Roman" w:hAnsi="Times New Roman"/>
          <w:bCs/>
          <w:color w:val="000000"/>
          <w:sz w:val="16"/>
          <w:szCs w:val="16"/>
          <w:lang w:val="uk-UA"/>
        </w:rPr>
      </w:pPr>
    </w:p>
    <w:p w:rsidR="00083D59" w:rsidRPr="00896223" w:rsidRDefault="00612C1B" w:rsidP="00083D59">
      <w:pPr>
        <w:pStyle w:val="a3"/>
        <w:spacing w:after="0" w:line="240" w:lineRule="auto"/>
        <w:ind w:left="0" w:firstLine="709"/>
        <w:jc w:val="both"/>
        <w:rPr>
          <w:rFonts w:cs="Times New Roman"/>
          <w:color w:val="000000"/>
          <w:sz w:val="28"/>
          <w:szCs w:val="28"/>
        </w:rPr>
      </w:pPr>
      <w:r>
        <w:rPr>
          <w:rFonts w:cs="Times New Roman"/>
          <w:sz w:val="28"/>
          <w:szCs w:val="28"/>
        </w:rPr>
        <w:sym w:font="Symbol" w:char="F02D"/>
      </w:r>
      <w:r w:rsidRPr="00612C1B">
        <w:rPr>
          <w:rFonts w:cs="Times New Roman"/>
          <w:sz w:val="28"/>
          <w:szCs w:val="28"/>
        </w:rPr>
        <w:t xml:space="preserve"> </w:t>
      </w:r>
      <w:r w:rsidR="00083D59" w:rsidRPr="00896223">
        <w:rPr>
          <w:rFonts w:cs="Times New Roman"/>
          <w:sz w:val="28"/>
          <w:szCs w:val="28"/>
        </w:rPr>
        <w:t>від 23.05.2018 № 4/32 «</w:t>
      </w:r>
      <w:r w:rsidR="00083D59" w:rsidRPr="00896223">
        <w:rPr>
          <w:rFonts w:cs="Times New Roman"/>
          <w:color w:val="000000"/>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p>
    <w:p w:rsidR="00083D59" w:rsidRPr="002F3279" w:rsidRDefault="00083D59" w:rsidP="00083D59">
      <w:pPr>
        <w:pStyle w:val="a3"/>
        <w:spacing w:after="0" w:line="240" w:lineRule="auto"/>
        <w:ind w:left="0" w:firstLine="709"/>
        <w:jc w:val="both"/>
        <w:rPr>
          <w:rFonts w:cs="Times New Roman"/>
          <w:color w:val="000000"/>
          <w:sz w:val="12"/>
          <w:szCs w:val="12"/>
        </w:rPr>
      </w:pPr>
    </w:p>
    <w:p w:rsidR="00524575" w:rsidRPr="00896223" w:rsidRDefault="00612C1B" w:rsidP="00B35F66">
      <w:pPr>
        <w:pStyle w:val="a3"/>
        <w:spacing w:after="0" w:line="240" w:lineRule="auto"/>
        <w:ind w:left="0" w:firstLine="709"/>
        <w:jc w:val="both"/>
        <w:rPr>
          <w:rFonts w:cs="Times New Roman"/>
          <w:color w:val="000000"/>
          <w:sz w:val="28"/>
          <w:szCs w:val="28"/>
        </w:rPr>
      </w:pPr>
      <w:r>
        <w:rPr>
          <w:rFonts w:cs="Times New Roman"/>
          <w:sz w:val="28"/>
          <w:szCs w:val="28"/>
        </w:rPr>
        <w:sym w:font="Symbol" w:char="F02D"/>
      </w:r>
      <w:r w:rsidRPr="00612C1B">
        <w:rPr>
          <w:rFonts w:cs="Times New Roman"/>
          <w:sz w:val="28"/>
          <w:szCs w:val="28"/>
        </w:rPr>
        <w:t xml:space="preserve"> </w:t>
      </w:r>
      <w:r w:rsidR="00083D59" w:rsidRPr="00896223">
        <w:rPr>
          <w:rFonts w:cs="Times New Roman"/>
          <w:sz w:val="28"/>
          <w:szCs w:val="28"/>
        </w:rPr>
        <w:t xml:space="preserve">від </w:t>
      </w:r>
      <w:r w:rsidR="00AD1859" w:rsidRPr="00896223">
        <w:rPr>
          <w:rFonts w:cs="Times New Roman"/>
          <w:sz w:val="28"/>
          <w:szCs w:val="28"/>
        </w:rPr>
        <w:t>23.10.2019 № 6/49</w:t>
      </w:r>
      <w:r w:rsidR="00083D59" w:rsidRPr="00896223">
        <w:rPr>
          <w:rFonts w:cs="Times New Roman"/>
          <w:sz w:val="28"/>
          <w:szCs w:val="28"/>
        </w:rPr>
        <w:t xml:space="preserve"> «</w:t>
      </w:r>
      <w:r w:rsidR="00083D59" w:rsidRPr="00896223">
        <w:rPr>
          <w:rFonts w:cs="Times New Roman"/>
          <w:color w:val="000000"/>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r w:rsidR="00766ECB" w:rsidRPr="00896223">
        <w:rPr>
          <w:rFonts w:cs="Times New Roman"/>
          <w:color w:val="000000"/>
          <w:sz w:val="28"/>
          <w:szCs w:val="28"/>
        </w:rPr>
        <w:t>.</w:t>
      </w:r>
    </w:p>
    <w:p w:rsidR="00B35F66" w:rsidRPr="003E398C" w:rsidRDefault="00B35F66" w:rsidP="00B35F66">
      <w:pPr>
        <w:pStyle w:val="a3"/>
        <w:spacing w:after="0" w:line="240" w:lineRule="auto"/>
        <w:ind w:left="0" w:firstLine="709"/>
        <w:jc w:val="both"/>
        <w:rPr>
          <w:rFonts w:cs="Times New Roman"/>
          <w:color w:val="000000"/>
          <w:sz w:val="16"/>
          <w:szCs w:val="16"/>
        </w:rPr>
      </w:pPr>
    </w:p>
    <w:p w:rsidR="00524575" w:rsidRPr="00896223" w:rsidRDefault="00524575" w:rsidP="00B61169">
      <w:pPr>
        <w:pStyle w:val="a3"/>
        <w:numPr>
          <w:ilvl w:val="0"/>
          <w:numId w:val="1"/>
        </w:numPr>
        <w:spacing w:after="0" w:line="240" w:lineRule="auto"/>
        <w:ind w:left="0" w:firstLine="709"/>
        <w:jc w:val="both"/>
        <w:rPr>
          <w:rFonts w:cs="Times New Roman"/>
          <w:bCs/>
          <w:color w:val="000000" w:themeColor="text1"/>
          <w:sz w:val="28"/>
          <w:szCs w:val="28"/>
        </w:rPr>
      </w:pPr>
      <w:r w:rsidRPr="00896223">
        <w:rPr>
          <w:rFonts w:cs="Times New Roman"/>
          <w:sz w:val="28"/>
          <w:szCs w:val="28"/>
        </w:rPr>
        <w:t xml:space="preserve">Контроль за </w:t>
      </w:r>
      <w:r w:rsidRPr="00896223">
        <w:rPr>
          <w:rFonts w:cs="Times New Roman"/>
          <w:color w:val="000000"/>
          <w:sz w:val="28"/>
          <w:szCs w:val="28"/>
          <w:shd w:val="clear" w:color="auto" w:fill="FFFFFF"/>
        </w:rPr>
        <w:t xml:space="preserve">виконанням цього рішення </w:t>
      </w:r>
      <w:r w:rsidR="00EF0AC1" w:rsidRPr="00896223">
        <w:rPr>
          <w:rFonts w:cs="Times New Roman"/>
          <w:color w:val="000000"/>
          <w:sz w:val="28"/>
          <w:szCs w:val="28"/>
          <w:shd w:val="clear" w:color="auto" w:fill="FFFFFF"/>
        </w:rPr>
        <w:t xml:space="preserve">покласти на </w:t>
      </w:r>
      <w:r w:rsidR="00E06360" w:rsidRPr="009556B1">
        <w:rPr>
          <w:sz w:val="28"/>
          <w:szCs w:val="28"/>
        </w:rPr>
        <w:t>заступника міського голови з питань діяльності виконавчих органів</w:t>
      </w:r>
      <w:r w:rsidR="00E06360" w:rsidRPr="00CF18DD">
        <w:rPr>
          <w:rFonts w:cs="Times New Roman"/>
          <w:sz w:val="28"/>
          <w:szCs w:val="28"/>
        </w:rPr>
        <w:t>, директор</w:t>
      </w:r>
      <w:r w:rsidR="00E06360">
        <w:rPr>
          <w:rFonts w:cs="Times New Roman"/>
          <w:sz w:val="28"/>
          <w:szCs w:val="28"/>
        </w:rPr>
        <w:t>а</w:t>
      </w:r>
      <w:r w:rsidR="00E06360" w:rsidRPr="00CF18DD">
        <w:rPr>
          <w:rFonts w:cs="Times New Roman"/>
          <w:sz w:val="28"/>
          <w:szCs w:val="28"/>
        </w:rPr>
        <w:t xml:space="preserve"> департаменту економіки, фінансів та міського бюджету Дніпровської міської ради</w:t>
      </w:r>
      <w:r w:rsidR="00E06360" w:rsidRPr="00CB1C7E">
        <w:rPr>
          <w:sz w:val="28"/>
          <w:szCs w:val="28"/>
        </w:rPr>
        <w:t xml:space="preserve"> </w:t>
      </w:r>
      <w:r w:rsidR="00CF18DD" w:rsidRPr="00896223">
        <w:rPr>
          <w:rFonts w:cs="Times New Roman"/>
          <w:color w:val="000000"/>
          <w:sz w:val="28"/>
          <w:szCs w:val="28"/>
          <w:shd w:val="clear" w:color="auto" w:fill="FFFFFF"/>
        </w:rPr>
        <w:t>і</w:t>
      </w:r>
      <w:r w:rsidR="001B1838" w:rsidRPr="00896223">
        <w:rPr>
          <w:rFonts w:cs="Times New Roman"/>
          <w:sz w:val="28"/>
          <w:szCs w:val="28"/>
        </w:rPr>
        <w:t xml:space="preserve"> голову постійної комісії міської ради з питань бюджету та фінансів</w:t>
      </w:r>
      <w:r w:rsidR="00CF18DD" w:rsidRPr="00896223">
        <w:rPr>
          <w:rFonts w:cs="Times New Roman"/>
          <w:sz w:val="28"/>
          <w:szCs w:val="28"/>
        </w:rPr>
        <w:t>.</w:t>
      </w:r>
    </w:p>
    <w:p w:rsidR="00FA312D" w:rsidRDefault="00FA312D" w:rsidP="006E296F">
      <w:pPr>
        <w:spacing w:after="0" w:line="240" w:lineRule="auto"/>
        <w:jc w:val="both"/>
        <w:rPr>
          <w:sz w:val="28"/>
          <w:szCs w:val="28"/>
          <w:lang w:val="uk-UA"/>
        </w:rPr>
      </w:pPr>
    </w:p>
    <w:p w:rsidR="003E4862" w:rsidRPr="00AC21C1" w:rsidRDefault="003E4862" w:rsidP="006E296F">
      <w:pPr>
        <w:spacing w:after="0" w:line="240" w:lineRule="auto"/>
        <w:jc w:val="both"/>
        <w:rPr>
          <w:sz w:val="28"/>
          <w:szCs w:val="28"/>
          <w:lang w:val="uk-UA"/>
        </w:rPr>
      </w:pPr>
    </w:p>
    <w:p w:rsidR="00A40484" w:rsidRDefault="00524575" w:rsidP="00F41FD9">
      <w:pPr>
        <w:spacing w:after="0" w:line="240" w:lineRule="auto"/>
        <w:jc w:val="both"/>
        <w:rPr>
          <w:rFonts w:ascii="Times New Roman" w:hAnsi="Times New Roman"/>
          <w:sz w:val="28"/>
          <w:szCs w:val="28"/>
        </w:rPr>
      </w:pPr>
      <w:r w:rsidRPr="002B63BA">
        <w:rPr>
          <w:rFonts w:ascii="Times New Roman" w:hAnsi="Times New Roman"/>
          <w:sz w:val="28"/>
          <w:szCs w:val="28"/>
        </w:rPr>
        <w:t>Міський голова</w:t>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0020319B">
        <w:rPr>
          <w:rFonts w:ascii="Times New Roman" w:hAnsi="Times New Roman"/>
          <w:sz w:val="28"/>
          <w:szCs w:val="28"/>
          <w:lang w:val="uk-UA"/>
        </w:rPr>
        <w:t xml:space="preserve">   </w:t>
      </w:r>
      <w:r w:rsidRPr="002B63BA">
        <w:rPr>
          <w:rFonts w:ascii="Times New Roman" w:hAnsi="Times New Roman"/>
          <w:sz w:val="28"/>
          <w:szCs w:val="28"/>
        </w:rPr>
        <w:t>Б.</w:t>
      </w:r>
      <w:r w:rsidR="003A32A8" w:rsidRPr="002B63BA">
        <w:rPr>
          <w:rFonts w:ascii="Times New Roman" w:hAnsi="Times New Roman"/>
          <w:sz w:val="28"/>
          <w:szCs w:val="28"/>
          <w:lang w:val="uk-UA"/>
        </w:rPr>
        <w:t xml:space="preserve"> </w:t>
      </w:r>
      <w:r w:rsidRPr="002B63BA">
        <w:rPr>
          <w:rFonts w:ascii="Times New Roman" w:hAnsi="Times New Roman"/>
          <w:sz w:val="28"/>
          <w:szCs w:val="28"/>
        </w:rPr>
        <w:t>А.</w:t>
      </w:r>
      <w:r w:rsidR="003A32A8" w:rsidRPr="002B63BA">
        <w:rPr>
          <w:rFonts w:ascii="Times New Roman" w:hAnsi="Times New Roman"/>
          <w:sz w:val="28"/>
          <w:szCs w:val="28"/>
          <w:lang w:val="uk-UA"/>
        </w:rPr>
        <w:t xml:space="preserve"> </w:t>
      </w:r>
      <w:r w:rsidR="00A40484">
        <w:rPr>
          <w:rFonts w:ascii="Times New Roman" w:hAnsi="Times New Roman"/>
          <w:sz w:val="28"/>
          <w:szCs w:val="28"/>
        </w:rPr>
        <w:t>Філатов</w:t>
      </w:r>
    </w:p>
    <w:p w:rsidR="006C6457" w:rsidRPr="00233850" w:rsidRDefault="00A40484" w:rsidP="006C6457">
      <w:pPr>
        <w:pStyle w:val="af1"/>
        <w:tabs>
          <w:tab w:val="left" w:pos="720"/>
          <w:tab w:val="left" w:pos="6480"/>
          <w:tab w:val="left" w:pos="6660"/>
          <w:tab w:val="left" w:pos="6840"/>
        </w:tabs>
        <w:ind w:left="4956" w:firstLine="708"/>
        <w:jc w:val="left"/>
        <w:rPr>
          <w:sz w:val="28"/>
          <w:szCs w:val="28"/>
        </w:rPr>
      </w:pPr>
      <w:r>
        <w:rPr>
          <w:b/>
          <w:sz w:val="28"/>
          <w:szCs w:val="28"/>
        </w:rPr>
        <w:lastRenderedPageBreak/>
        <w:tab/>
      </w:r>
      <w:r w:rsidR="006C6457" w:rsidRPr="00233850">
        <w:rPr>
          <w:sz w:val="28"/>
          <w:szCs w:val="28"/>
        </w:rPr>
        <w:t>Додаток 1</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до рішення міської ради</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від 06.12.2017 № 12/27</w:t>
      </w:r>
    </w:p>
    <w:p w:rsidR="006C6457" w:rsidRPr="00233850" w:rsidRDefault="006C6457" w:rsidP="006C6457">
      <w:pPr>
        <w:pStyle w:val="af1"/>
        <w:tabs>
          <w:tab w:val="left" w:pos="720"/>
          <w:tab w:val="left" w:pos="6521"/>
          <w:tab w:val="left" w:pos="6840"/>
        </w:tabs>
        <w:ind w:left="6379" w:right="-1" w:hanging="142"/>
        <w:jc w:val="left"/>
        <w:rPr>
          <w:sz w:val="28"/>
          <w:szCs w:val="28"/>
        </w:rPr>
      </w:pPr>
      <w:r w:rsidRPr="00233850">
        <w:rPr>
          <w:sz w:val="28"/>
          <w:szCs w:val="28"/>
        </w:rPr>
        <w:t xml:space="preserve">   (у редакції рішення</w:t>
      </w:r>
    </w:p>
    <w:p w:rsidR="006C6457" w:rsidRPr="00233850" w:rsidRDefault="006C6457" w:rsidP="006C6457">
      <w:pPr>
        <w:pStyle w:val="af1"/>
        <w:tabs>
          <w:tab w:val="left" w:pos="720"/>
          <w:tab w:val="left" w:pos="6521"/>
          <w:tab w:val="left" w:pos="6840"/>
        </w:tabs>
        <w:ind w:left="6379" w:right="-1" w:hanging="142"/>
        <w:jc w:val="left"/>
        <w:rPr>
          <w:sz w:val="28"/>
          <w:szCs w:val="28"/>
        </w:rPr>
      </w:pPr>
      <w:r w:rsidRPr="00233850">
        <w:rPr>
          <w:sz w:val="28"/>
          <w:szCs w:val="28"/>
        </w:rPr>
        <w:t xml:space="preserve">   міської ради</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26.05.2021 № 10/7)</w:t>
      </w:r>
    </w:p>
    <w:p w:rsidR="006C6457" w:rsidRPr="00233850" w:rsidRDefault="006C6457" w:rsidP="006C6457">
      <w:pPr>
        <w:pStyle w:val="af1"/>
        <w:rPr>
          <w:sz w:val="28"/>
          <w:szCs w:val="28"/>
        </w:rPr>
      </w:pPr>
      <w:r w:rsidRPr="00233850">
        <w:rPr>
          <w:sz w:val="28"/>
          <w:szCs w:val="28"/>
        </w:rPr>
        <w:tab/>
        <w:t xml:space="preserve">                             </w:t>
      </w:r>
    </w:p>
    <w:p w:rsidR="006C6457" w:rsidRPr="00233850" w:rsidRDefault="006C6457" w:rsidP="006C6457">
      <w:pPr>
        <w:pStyle w:val="af1"/>
        <w:rPr>
          <w:sz w:val="28"/>
          <w:szCs w:val="28"/>
        </w:rPr>
      </w:pPr>
      <w:r w:rsidRPr="00233850">
        <w:rPr>
          <w:sz w:val="28"/>
          <w:szCs w:val="28"/>
        </w:rPr>
        <w:t>Ставки</w:t>
      </w:r>
    </w:p>
    <w:p w:rsidR="006C6457" w:rsidRPr="006C6457" w:rsidRDefault="006C6457" w:rsidP="006C6457">
      <w:pPr>
        <w:jc w:val="center"/>
        <w:rPr>
          <w:rFonts w:ascii="Times New Roman" w:hAnsi="Times New Roman"/>
          <w:sz w:val="28"/>
          <w:szCs w:val="28"/>
        </w:rPr>
      </w:pPr>
      <w:r w:rsidRPr="006C6457">
        <w:rPr>
          <w:rFonts w:ascii="Times New Roman" w:hAnsi="Times New Roman"/>
          <w:sz w:val="28"/>
          <w:szCs w:val="28"/>
        </w:rPr>
        <w:t>податку на нерухоме майно, відмінне від земельної ділянки</w:t>
      </w:r>
    </w:p>
    <w:p w:rsidR="006C6457" w:rsidRPr="006C6457" w:rsidRDefault="006C6457" w:rsidP="00233850">
      <w:pPr>
        <w:pStyle w:val="af7"/>
        <w:spacing w:after="120"/>
        <w:jc w:val="both"/>
        <w:rPr>
          <w:rFonts w:ascii="Times New Roman" w:hAnsi="Times New Roman"/>
          <w:sz w:val="28"/>
          <w:szCs w:val="28"/>
        </w:rPr>
      </w:pPr>
      <w:r w:rsidRPr="006C6457">
        <w:rPr>
          <w:rFonts w:ascii="Times New Roman" w:hAnsi="Times New Roman"/>
          <w:sz w:val="28"/>
          <w:szCs w:val="28"/>
        </w:rPr>
        <w:t>Адміністративно-територіальна одиниця або населений пункт, або територія об’єднаної територіальної громади, на яку поширюється дія рішення міської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444"/>
        <w:gridCol w:w="2444"/>
        <w:gridCol w:w="1972"/>
      </w:tblGrid>
      <w:tr w:rsidR="006C6457" w:rsidRPr="006C6457" w:rsidTr="00377529">
        <w:trPr>
          <w:trHeight w:val="1396"/>
        </w:trPr>
        <w:tc>
          <w:tcPr>
            <w:tcW w:w="1454"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області</w:t>
            </w:r>
          </w:p>
        </w:tc>
        <w:tc>
          <w:tcPr>
            <w:tcW w:w="1286"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району</w:t>
            </w:r>
          </w:p>
        </w:tc>
        <w:tc>
          <w:tcPr>
            <w:tcW w:w="1286"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міста</w:t>
            </w:r>
          </w:p>
        </w:tc>
        <w:tc>
          <w:tcPr>
            <w:tcW w:w="974"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Найменування адміністративно-територіальної одиниці</w:t>
            </w:r>
            <w:r w:rsidRPr="006C6457">
              <w:rPr>
                <w:rFonts w:ascii="Times New Roman" w:hAnsi="Times New Roman"/>
                <w:sz w:val="24"/>
                <w:szCs w:val="24"/>
              </w:rPr>
              <w:br/>
              <w:t>або населеного пункту, або території об’єднаної територіальної громади</w:t>
            </w:r>
          </w:p>
        </w:tc>
      </w:tr>
      <w:tr w:rsidR="006C6457" w:rsidRPr="006C6457" w:rsidTr="00377529">
        <w:trPr>
          <w:trHeight w:val="499"/>
        </w:trPr>
        <w:tc>
          <w:tcPr>
            <w:tcW w:w="1454" w:type="pct"/>
            <w:vAlign w:val="center"/>
          </w:tcPr>
          <w:p w:rsidR="006C6457" w:rsidRPr="006C6457" w:rsidRDefault="006C6457" w:rsidP="00377529">
            <w:pPr>
              <w:pStyle w:val="af7"/>
              <w:spacing w:before="0"/>
              <w:ind w:firstLine="28"/>
              <w:jc w:val="center"/>
              <w:rPr>
                <w:rFonts w:ascii="Times New Roman" w:hAnsi="Times New Roman"/>
                <w:bCs/>
                <w:sz w:val="22"/>
                <w:szCs w:val="22"/>
                <w:shd w:val="clear" w:color="auto" w:fill="FFFFFF"/>
              </w:rPr>
            </w:pPr>
            <w:r w:rsidRPr="006C6457">
              <w:rPr>
                <w:rFonts w:ascii="Times New Roman" w:hAnsi="Times New Roman"/>
                <w:bCs/>
                <w:sz w:val="22"/>
                <w:szCs w:val="22"/>
                <w:shd w:val="clear" w:color="auto" w:fill="FFFFFF"/>
              </w:rPr>
              <w:t>UA12000000000090473</w:t>
            </w:r>
          </w:p>
        </w:tc>
        <w:tc>
          <w:tcPr>
            <w:tcW w:w="1286" w:type="pct"/>
            <w:vAlign w:val="center"/>
          </w:tcPr>
          <w:p w:rsidR="006C6457" w:rsidRPr="006C6457" w:rsidRDefault="006C6457" w:rsidP="00377529">
            <w:pPr>
              <w:pStyle w:val="af7"/>
              <w:spacing w:before="0"/>
              <w:ind w:firstLine="0"/>
              <w:rPr>
                <w:rFonts w:ascii="Times New Roman" w:hAnsi="Times New Roman"/>
                <w:sz w:val="22"/>
                <w:szCs w:val="22"/>
              </w:rPr>
            </w:pPr>
            <w:r w:rsidRPr="006C6457">
              <w:rPr>
                <w:rFonts w:ascii="Times New Roman" w:hAnsi="Times New Roman"/>
                <w:sz w:val="22"/>
                <w:szCs w:val="22"/>
              </w:rPr>
              <w:t>UA12020000000052809</w:t>
            </w:r>
          </w:p>
        </w:tc>
        <w:tc>
          <w:tcPr>
            <w:tcW w:w="1286" w:type="pct"/>
            <w:vAlign w:val="center"/>
          </w:tcPr>
          <w:p w:rsidR="006C6457" w:rsidRPr="006C6457" w:rsidRDefault="006C6457" w:rsidP="00377529">
            <w:pPr>
              <w:pStyle w:val="af7"/>
              <w:spacing w:before="0"/>
              <w:ind w:firstLine="28"/>
              <w:jc w:val="center"/>
              <w:rPr>
                <w:rFonts w:ascii="Times New Roman" w:hAnsi="Times New Roman"/>
                <w:sz w:val="22"/>
                <w:szCs w:val="22"/>
              </w:rPr>
            </w:pPr>
            <w:r w:rsidRPr="006C6457">
              <w:rPr>
                <w:rFonts w:ascii="Times New Roman" w:hAnsi="Times New Roman"/>
                <w:bCs/>
                <w:sz w:val="22"/>
                <w:szCs w:val="22"/>
                <w:shd w:val="clear" w:color="auto" w:fill="FFFFFF"/>
              </w:rPr>
              <w:t>UA12020010010037010</w:t>
            </w:r>
          </w:p>
        </w:tc>
        <w:tc>
          <w:tcPr>
            <w:tcW w:w="974" w:type="pct"/>
            <w:vAlign w:val="center"/>
          </w:tcPr>
          <w:p w:rsidR="006C6457" w:rsidRPr="006C6457" w:rsidRDefault="006C6457" w:rsidP="00377529">
            <w:pPr>
              <w:pStyle w:val="af7"/>
              <w:spacing w:before="0"/>
              <w:ind w:firstLine="28"/>
              <w:jc w:val="center"/>
              <w:rPr>
                <w:rFonts w:ascii="Times New Roman" w:hAnsi="Times New Roman"/>
                <w:sz w:val="24"/>
                <w:szCs w:val="24"/>
              </w:rPr>
            </w:pPr>
            <w:r w:rsidRPr="006C6457">
              <w:rPr>
                <w:rFonts w:ascii="Times New Roman" w:hAnsi="Times New Roman"/>
                <w:sz w:val="24"/>
                <w:szCs w:val="24"/>
              </w:rPr>
              <w:t>Місто Дніпро</w:t>
            </w:r>
          </w:p>
        </w:tc>
      </w:tr>
    </w:tbl>
    <w:p w:rsidR="006C6457" w:rsidRPr="006C6457" w:rsidRDefault="006C6457" w:rsidP="00233850">
      <w:pPr>
        <w:spacing w:after="0"/>
        <w:rPr>
          <w:rFonts w:ascii="Times New Roman" w:hAnsi="Times New Roman"/>
          <w:sz w:val="28"/>
          <w:szCs w:val="28"/>
        </w:rPr>
      </w:pPr>
    </w:p>
    <w:tbl>
      <w:tblPr>
        <w:tblW w:w="9747" w:type="dxa"/>
        <w:tblLayout w:type="fixed"/>
        <w:tblLook w:val="0000" w:firstRow="0" w:lastRow="0" w:firstColumn="0" w:lastColumn="0" w:noHBand="0" w:noVBand="0"/>
      </w:tblPr>
      <w:tblGrid>
        <w:gridCol w:w="985"/>
        <w:gridCol w:w="3659"/>
        <w:gridCol w:w="851"/>
        <w:gridCol w:w="850"/>
        <w:gridCol w:w="851"/>
        <w:gridCol w:w="850"/>
        <w:gridCol w:w="851"/>
        <w:gridCol w:w="850"/>
      </w:tblGrid>
      <w:tr w:rsidR="006C6457" w:rsidRPr="006C6457" w:rsidTr="00377529">
        <w:trPr>
          <w:trHeight w:val="97"/>
          <w:tblHeader/>
        </w:trPr>
        <w:tc>
          <w:tcPr>
            <w:tcW w:w="4644" w:type="dxa"/>
            <w:gridSpan w:val="2"/>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Класифікація будівель та споруд</w:t>
            </w: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rPr>
              <w:t xml:space="preserve">Ставки податку за </w:t>
            </w:r>
            <w:smartTag w:uri="urn:schemas-microsoft-com:office:smarttags" w:element="metricconverter">
              <w:smartTagPr>
                <w:attr w:name="ProductID" w:val="1 кв. метр"/>
              </w:smartTagPr>
              <w:r w:rsidRPr="006C6457">
                <w:rPr>
                  <w:rFonts w:ascii="Times New Roman" w:hAnsi="Times New Roman"/>
                  <w:noProof/>
                </w:rPr>
                <w:t>1 кв. метр</w:t>
              </w:r>
            </w:smartTag>
            <w:r w:rsidRPr="006C6457">
              <w:rPr>
                <w:rFonts w:ascii="Times New Roman" w:hAnsi="Times New Roman"/>
                <w:noProof/>
              </w:rPr>
              <w:t xml:space="preserve"> </w:t>
            </w:r>
            <w:r w:rsidRPr="006C6457">
              <w:rPr>
                <w:rFonts w:ascii="Times New Roman" w:hAnsi="Times New Roman"/>
              </w:rPr>
              <w:t xml:space="preserve">(відсотків розміру </w:t>
            </w:r>
          </w:p>
          <w:p w:rsidR="006C6457" w:rsidRPr="006C6457" w:rsidRDefault="006C6457" w:rsidP="00377529">
            <w:pPr>
              <w:jc w:val="center"/>
              <w:rPr>
                <w:rFonts w:ascii="Times New Roman" w:hAnsi="Times New Roman"/>
              </w:rPr>
            </w:pPr>
            <w:r w:rsidRPr="006C6457">
              <w:rPr>
                <w:rFonts w:ascii="Times New Roman" w:hAnsi="Times New Roman"/>
              </w:rPr>
              <w:t>мінімальної заробітної плати)</w:t>
            </w:r>
          </w:p>
        </w:tc>
      </w:tr>
      <w:tr w:rsidR="006C6457" w:rsidRPr="006C6457" w:rsidTr="00377529">
        <w:trPr>
          <w:trHeight w:val="97"/>
          <w:tblHeader/>
        </w:trPr>
        <w:tc>
          <w:tcPr>
            <w:tcW w:w="985" w:type="dxa"/>
            <w:vMerge w:val="restart"/>
            <w:tcBorders>
              <w:top w:val="single" w:sz="4" w:space="0" w:color="auto"/>
              <w:left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код</w:t>
            </w:r>
          </w:p>
        </w:tc>
        <w:tc>
          <w:tcPr>
            <w:tcW w:w="3659" w:type="dxa"/>
            <w:vMerge w:val="restart"/>
            <w:tcBorders>
              <w:top w:val="single" w:sz="4" w:space="0" w:color="auto"/>
              <w:left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найменування</w:t>
            </w:r>
          </w:p>
        </w:tc>
        <w:tc>
          <w:tcPr>
            <w:tcW w:w="2552" w:type="dxa"/>
            <w:gridSpan w:val="3"/>
            <w:tcBorders>
              <w:top w:val="single" w:sz="4" w:space="0" w:color="auto"/>
              <w:left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lang w:val="en-US"/>
              </w:rPr>
              <w:t>для юридичних осіб</w:t>
            </w:r>
          </w:p>
        </w:tc>
        <w:tc>
          <w:tcPr>
            <w:tcW w:w="2551" w:type="dxa"/>
            <w:gridSpan w:val="3"/>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lang w:val="en-US"/>
              </w:rPr>
              <w:t>для фізичних осіб</w:t>
            </w:r>
          </w:p>
        </w:tc>
      </w:tr>
      <w:tr w:rsidR="006C6457" w:rsidRPr="006C6457" w:rsidTr="00377529">
        <w:trPr>
          <w:trHeight w:val="97"/>
          <w:tblHeader/>
        </w:trPr>
        <w:tc>
          <w:tcPr>
            <w:tcW w:w="985" w:type="dxa"/>
            <w:vMerge/>
            <w:tcBorders>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p>
        </w:tc>
        <w:tc>
          <w:tcPr>
            <w:tcW w:w="3659" w:type="dxa"/>
            <w:vMerge/>
            <w:tcBorders>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lang w:val="en-US"/>
              </w:rPr>
              <w:t>1 зона</w:t>
            </w:r>
          </w:p>
        </w:tc>
        <w:tc>
          <w:tcPr>
            <w:tcW w:w="850"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lang w:val="en-US"/>
              </w:rPr>
            </w:pPr>
            <w:r w:rsidRPr="006C6457">
              <w:rPr>
                <w:rFonts w:ascii="Times New Roman" w:hAnsi="Times New Roman"/>
                <w:noProof/>
                <w:lang w:val="en-US"/>
              </w:rPr>
              <w:t>2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3</w:t>
            </w:r>
            <w:r w:rsidRPr="006C6457">
              <w:rPr>
                <w:rFonts w:ascii="Times New Roman" w:hAnsi="Times New Roman"/>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lang w:val="en-US"/>
              </w:rPr>
            </w:pPr>
            <w:r w:rsidRPr="006C6457">
              <w:rPr>
                <w:rFonts w:ascii="Times New Roman" w:hAnsi="Times New Roman"/>
                <w:noProof/>
                <w:lang w:val="en-US"/>
              </w:rPr>
              <w:t>1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2</w:t>
            </w:r>
            <w:r w:rsidRPr="006C6457">
              <w:rPr>
                <w:rFonts w:ascii="Times New Roman" w:hAnsi="Times New Roman"/>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lang w:val="en-US"/>
              </w:rPr>
              <w:t>3 зона</w:t>
            </w:r>
          </w:p>
        </w:tc>
      </w:tr>
    </w:tbl>
    <w:p w:rsidR="006C6457" w:rsidRPr="006C6457" w:rsidRDefault="006C6457" w:rsidP="00233850">
      <w:pPr>
        <w:rPr>
          <w:rFonts w:ascii="Times New Roman" w:hAnsi="Times New Roman"/>
          <w:sz w:val="2"/>
          <w:szCs w:val="2"/>
        </w:rPr>
      </w:pPr>
    </w:p>
    <w:p w:rsidR="006C6457" w:rsidRPr="006C6457" w:rsidRDefault="006C6457" w:rsidP="006C6457">
      <w:pPr>
        <w:jc w:val="center"/>
        <w:rPr>
          <w:rFonts w:ascii="Times New Roman" w:hAnsi="Times New Roman"/>
          <w:sz w:val="2"/>
          <w:szCs w:val="2"/>
        </w:rPr>
      </w:pPr>
    </w:p>
    <w:tbl>
      <w:tblPr>
        <w:tblW w:w="9747" w:type="dxa"/>
        <w:tblLayout w:type="fixed"/>
        <w:tblLook w:val="0000" w:firstRow="0" w:lastRow="0" w:firstColumn="0" w:lastColumn="0" w:noHBand="0" w:noVBand="0"/>
      </w:tblPr>
      <w:tblGrid>
        <w:gridCol w:w="987"/>
        <w:gridCol w:w="3657"/>
        <w:gridCol w:w="851"/>
        <w:gridCol w:w="850"/>
        <w:gridCol w:w="851"/>
        <w:gridCol w:w="850"/>
        <w:gridCol w:w="851"/>
        <w:gridCol w:w="850"/>
      </w:tblGrid>
      <w:tr w:rsidR="006C6457" w:rsidRPr="006C6457" w:rsidTr="00233850">
        <w:trPr>
          <w:trHeight w:val="293"/>
          <w:tblHeader/>
        </w:trPr>
        <w:tc>
          <w:tcPr>
            <w:tcW w:w="987"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rPr>
              <w:t>1</w:t>
            </w:r>
          </w:p>
        </w:tc>
        <w:tc>
          <w:tcPr>
            <w:tcW w:w="3657"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6</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rPr>
            </w:pPr>
            <w:r w:rsidRPr="006C6457">
              <w:rPr>
                <w:rFonts w:ascii="Times New Roman" w:hAnsi="Times New Roman"/>
                <w:noProof/>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8</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Будівлі житлові                                                                                             (за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100"/>
              <w:ind w:firstLine="0"/>
              <w:jc w:val="center"/>
              <w:rPr>
                <w:rFonts w:ascii="Times New Roman" w:hAnsi="Times New Roman"/>
                <w:sz w:val="28"/>
                <w:szCs w:val="28"/>
              </w:rPr>
            </w:pPr>
            <w:r w:rsidRPr="006C6457">
              <w:rPr>
                <w:rFonts w:ascii="Times New Roman" w:hAnsi="Times New Roman"/>
                <w:noProof/>
                <w:sz w:val="28"/>
                <w:szCs w:val="28"/>
                <w:lang w:val="ru-RU"/>
              </w:rPr>
              <w:t>Будинки одноквартирні</w:t>
            </w:r>
            <w:r w:rsidRPr="006C6457">
              <w:rPr>
                <w:rFonts w:ascii="Times New Roman" w:hAnsi="Times New Roman"/>
                <w:noProof/>
                <w:sz w:val="28"/>
                <w:szCs w:val="28"/>
              </w:rPr>
              <w:t xml:space="preserve"> </w:t>
            </w:r>
          </w:p>
        </w:tc>
      </w:tr>
      <w:tr w:rsidR="006C6457" w:rsidRPr="006C6457" w:rsidTr="00377529">
        <w:trPr>
          <w:trHeight w:val="32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1110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Будинки одноквартирні</w:t>
            </w:r>
          </w:p>
        </w:tc>
      </w:tr>
      <w:tr w:rsidR="006C6457" w:rsidRPr="006C6457" w:rsidTr="00377529">
        <w:trPr>
          <w:trHeight w:val="8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одноквартирні масової забудови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lastRenderedPageBreak/>
              <w:t>1110.2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ru-RU"/>
              </w:rPr>
            </w:pPr>
            <w:r w:rsidRPr="006C6457">
              <w:rPr>
                <w:rFonts w:ascii="Times New Roman" w:hAnsi="Times New Roman"/>
                <w:noProof/>
                <w:sz w:val="28"/>
                <w:szCs w:val="28"/>
                <w:lang w:val="ru-RU"/>
              </w:rPr>
              <w:t>Котеджі та будинки одноквартирні підвищеної комфортності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4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садибного типу</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3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дачні та садові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2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Будинки з двома та більше квартирами</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lang w:val="en-US"/>
              </w:rPr>
              <w:t>Будинки з двома квартирами</w:t>
            </w:r>
          </w:p>
        </w:tc>
      </w:tr>
      <w:tr w:rsidR="006C6457" w:rsidRPr="006C6457" w:rsidTr="00377529">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двоквартирні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54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1121.2 </w:t>
            </w:r>
          </w:p>
          <w:p w:rsidR="006C6457" w:rsidRPr="006C6457" w:rsidRDefault="006C6457" w:rsidP="00233850">
            <w:pPr>
              <w:spacing w:line="240" w:lineRule="auto"/>
              <w:rPr>
                <w:rFonts w:ascii="Times New Roman" w:hAnsi="Times New Roman"/>
                <w:lang w:val="en-US"/>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ru-RU"/>
              </w:rPr>
            </w:pPr>
            <w:r w:rsidRPr="006C6457">
              <w:rPr>
                <w:rFonts w:ascii="Times New Roman" w:hAnsi="Times New Roman"/>
                <w:noProof/>
                <w:sz w:val="28"/>
                <w:szCs w:val="28"/>
                <w:lang w:val="ru-RU"/>
              </w:rPr>
              <w:t xml:space="preserve">Котеджі та будинки двоквартирні підвищеної комфортності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Будинки з трьома та більше квартирами</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багатоквартирні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багатоквартирні підвищеної комфортності, індивідуальні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lang w:val="en-US"/>
              </w:rPr>
              <w:t xml:space="preserve">Будинки житлові готельного типу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 xml:space="preserve">Гуртожитки                                                                                               </w:t>
            </w:r>
          </w:p>
          <w:p w:rsidR="006C6457" w:rsidRPr="006C6457" w:rsidRDefault="006C6457" w:rsidP="00233850">
            <w:pPr>
              <w:pStyle w:val="af7"/>
              <w:spacing w:before="0"/>
              <w:ind w:firstLine="0"/>
              <w:jc w:val="center"/>
              <w:rPr>
                <w:rFonts w:ascii="Times New Roman" w:hAnsi="Times New Roman"/>
                <w:noProof/>
                <w:sz w:val="28"/>
                <w:szCs w:val="28"/>
              </w:rPr>
            </w:pPr>
            <w:r w:rsidRPr="006C6457">
              <w:rPr>
                <w:rFonts w:ascii="Times New Roman" w:hAnsi="Times New Roman"/>
                <w:noProof/>
                <w:sz w:val="28"/>
                <w:szCs w:val="28"/>
                <w:lang w:val="ru-RU"/>
              </w:rPr>
              <w:t xml:space="preserve">(за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Гуртожитки для робітників та службовців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 xml:space="preserve">Гуртожитки для студентів вищих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Гуртожитки для учнів навчальних закладів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Будинки-інтернати для людей похилого віку та осіб з інвалідністю</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дитини та сирітські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1130.6</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для біженців, притулки для бездомних</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1130.9</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для колективного проживання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Будівлі нежитлові</w:t>
            </w:r>
            <w:r w:rsidRPr="006C6457">
              <w:rPr>
                <w:rFonts w:ascii="Times New Roman" w:hAnsi="Times New Roman"/>
                <w:noProof/>
                <w:sz w:val="28"/>
                <w:szCs w:val="28"/>
              </w:rPr>
              <w:t xml:space="preserve"> </w:t>
            </w:r>
            <w:r w:rsidRPr="006C6457">
              <w:rPr>
                <w:rFonts w:ascii="Times New Roman" w:hAnsi="Times New Roman"/>
                <w:noProof/>
                <w:sz w:val="28"/>
                <w:szCs w:val="28"/>
                <w:lang w:val="ru-RU"/>
              </w:rPr>
              <w:t xml:space="preserve">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Готелі, ресторани та подібні будівлі</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готельні</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Готелі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Мотелі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Кемпінги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Пансіонати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Ресторани та бари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Інші будівлі для тимчасового проживання</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Туристичні бази та гірські притулки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Дитячі та сімейні табори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Центри та будинки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Інші будівлі для тимчасового проживання, не класифіковані раніше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 xml:space="preserve">Будівлі офісні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3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1220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офісні</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Будівлі органів державного та місцевого управління</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фінансового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220.3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органів правосуддя</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Будівлі закордонних представництв (оподатковуються з урахуванням міжнародних договорів / конвенцій)</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Адміністративно-побутові будівлі промислових підприємств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lang w:val="en-US"/>
              </w:rPr>
              <w:t xml:space="preserve">1220.9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rPr>
              <w:t xml:space="preserve">Будівлі для конторських та адміністративних цілей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Будівлі торговельні                                                                                </w:t>
            </w:r>
            <w:r w:rsidRPr="006C6457">
              <w:rPr>
                <w:rFonts w:ascii="Times New Roman" w:hAnsi="Times New Roman"/>
                <w:sz w:val="28"/>
                <w:szCs w:val="28"/>
              </w:rPr>
              <w:t xml:space="preserve">(крім об’єктів нежитлової нерухомості, які використовуються суб’єктами господарювання малого та середнього бізнесу, що провадять свою діяльність у малих архітектурних формах та на ринках, які не є об’єктом оподаткування згідно з </w:t>
            </w:r>
            <w:r w:rsidRPr="006C6457">
              <w:rPr>
                <w:rFonts w:ascii="Times New Roman" w:hAnsi="Times New Roman"/>
                <w:noProof/>
                <w:sz w:val="28"/>
                <w:szCs w:val="28"/>
              </w:rPr>
              <w:t>підпунктом 266.2.2 пункту 266.2 статті 266 Податкового кодексу України</w:t>
            </w:r>
            <w:r w:rsidRPr="006C6457">
              <w:rPr>
                <w:rFonts w:ascii="Times New Roman" w:hAnsi="Times New Roman"/>
                <w:sz w:val="28"/>
                <w:szCs w:val="28"/>
              </w:rPr>
              <w:t>)</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1230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торговельні</w:t>
            </w:r>
          </w:p>
        </w:tc>
      </w:tr>
      <w:tr w:rsidR="006C6457" w:rsidRPr="006C6457" w:rsidTr="00377529">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Торгові центри, універмаги, магазини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Криті ринки, павільйони та зали для ярмарків</w:t>
            </w:r>
            <w:r w:rsidRPr="006C6457">
              <w:rPr>
                <w:rFonts w:ascii="Times New Roman" w:hAnsi="Times New Roman"/>
                <w:noProof/>
                <w:sz w:val="28"/>
                <w:szCs w:val="28"/>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4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Станції технічного обслуговування автомобілів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Їдальні, кафе, закусочні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Бази та склади підприємств торгівлі і громадського харчування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підприємств побутового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торговельні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 xml:space="preserve">Будівлі транспорту та засобів зв’язку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r w:rsidRPr="006C6457">
              <w:rPr>
                <w:rFonts w:ascii="Times New Roman" w:hAnsi="Times New Roman"/>
                <w:sz w:val="28"/>
                <w:szCs w:val="28"/>
              </w:rPr>
              <w:t xml:space="preserve"> </w:t>
            </w:r>
          </w:p>
        </w:tc>
      </w:tr>
      <w:tr w:rsidR="006C6457" w:rsidRPr="006C6457" w:rsidTr="00377529">
        <w:trPr>
          <w:trHeight w:val="7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1241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Вокзали, аеровокзали, будівлі засобів зв’язку та пов’язані з ними будівлі</w:t>
            </w:r>
          </w:p>
        </w:tc>
      </w:tr>
      <w:tr w:rsidR="006C6457" w:rsidRPr="006C6457" w:rsidTr="00377529">
        <w:trPr>
          <w:trHeight w:val="30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Автовокзали та інші будівлі автомобільного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Вокзали та інші будівлі залізничного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міського електротранспорту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1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Аеровокзали та інші будівлі повітряного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Морські та річкові вокзали, маяки та пов’язані з ними будівлі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станцій підвісних та канатних доріг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центрів радіо- та телевізійного мовлення, </w:t>
            </w:r>
            <w:r w:rsidRPr="006C6457">
              <w:rPr>
                <w:rFonts w:ascii="Times New Roman" w:hAnsi="Times New Roman"/>
                <w:noProof/>
                <w:sz w:val="28"/>
                <w:szCs w:val="28"/>
              </w:rPr>
              <w:lastRenderedPageBreak/>
              <w:t xml:space="preserve">телефонних станцій, телекомунікаційних центрів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9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 xml:space="preserve">1241.8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 xml:space="preserve">Ангари для літаків, локомотивні, вагонні, трамвайні та тролейбусні депо </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4"/>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r w:rsidRPr="006C6457">
              <w:rPr>
                <w:rFonts w:ascii="Times New Roman" w:hAnsi="Times New Roman"/>
                <w:noProof/>
                <w:sz w:val="28"/>
                <w:szCs w:val="28"/>
                <w:lang w:val="en-US"/>
              </w:rPr>
              <w:t xml:space="preserve">1241.9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транспорту інші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4"/>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засобів зв’язку інші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lang w:val="en-US"/>
              </w:rPr>
              <w:t>1242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line="240" w:lineRule="auto"/>
              <w:jc w:val="center"/>
              <w:rPr>
                <w:rFonts w:ascii="Times New Roman" w:hAnsi="Times New Roman"/>
                <w:sz w:val="28"/>
                <w:szCs w:val="28"/>
              </w:rPr>
            </w:pPr>
            <w:r w:rsidRPr="006C6457">
              <w:rPr>
                <w:rFonts w:ascii="Times New Roman" w:hAnsi="Times New Roman"/>
                <w:noProof/>
                <w:sz w:val="28"/>
                <w:szCs w:val="28"/>
              </w:rPr>
              <w:t>Гаражі, які здаються в оренду, лізинг, заставу, використовуються у підприємницькій діяльності</w:t>
            </w:r>
          </w:p>
        </w:tc>
      </w:tr>
      <w:tr w:rsidR="006C6457" w:rsidRPr="006C6457" w:rsidTr="00377529">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Гаражі наземні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8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Гаражі підземні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1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Стоянки автомобільні криті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Навіси для велосипедів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125</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промислові та склади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(за винятком виробничих корпусів, цехів, складських приміщень промислових підприємств, будівель, споруд сільськогосподарських товаровиробників, призначених для використання у сільсько-господарській діяльності, які не є об’єктом згідно з підпунктом 266.2.2 пункту 266.2 статті 266 Податкового кодексу України)</w:t>
            </w:r>
          </w:p>
        </w:tc>
      </w:tr>
      <w:tr w:rsidR="006C6457" w:rsidRPr="006C6457" w:rsidTr="00377529">
        <w:trPr>
          <w:trHeight w:val="2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1251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Будівлі промислові</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1251.1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підприємств машинобудування та металообробної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підприємств чорної металургії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хімічної та нафтохімічної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підприємств легкої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4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підприємств харчової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медичної та мікробіологічної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підприємств лісової, деревообробної та </w:t>
            </w:r>
            <w:r w:rsidRPr="006C6457">
              <w:rPr>
                <w:rFonts w:ascii="Times New Roman" w:hAnsi="Times New Roman"/>
                <w:sz w:val="28"/>
                <w:szCs w:val="28"/>
              </w:rPr>
              <w:lastRenderedPageBreak/>
              <w:t>целюлозно-паперової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3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1251.8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інших промислових виробництв, включаючи поліграфічне</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1252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lang w:val="en-US"/>
              </w:rPr>
            </w:pPr>
            <w:r w:rsidRPr="006C6457">
              <w:rPr>
                <w:rFonts w:ascii="Times New Roman" w:hAnsi="Times New Roman"/>
                <w:sz w:val="28"/>
                <w:szCs w:val="28"/>
                <w:lang w:val="en-US"/>
              </w:rPr>
              <w:t>Резервуари, силоси та склади</w:t>
            </w:r>
          </w:p>
        </w:tc>
      </w:tr>
      <w:tr w:rsidR="006C6457" w:rsidRPr="006C6457" w:rsidTr="00377529">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Резервуари для нафти, нафтопродуктів та газу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4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Резервуари та ємності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Силоси для зерна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Силоси для цементу та інших сипучих матеріалів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1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Склади спеціальні товарні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Холодильники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Складські майданчики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Склади універсальні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Склади та сховища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для публічних виступів, закладів освітнього,             </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медичного та оздоровчого призначення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55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1261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Будівлі для публічних виступів</w:t>
            </w:r>
          </w:p>
        </w:tc>
      </w:tr>
      <w:tr w:rsidR="006C6457" w:rsidRPr="006C6457" w:rsidTr="00377529">
        <w:trPr>
          <w:trHeight w:val="5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Театри, кінотеатри та концертні зали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Зали засідань та багатоцільові зали для публічних виступів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Цирки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Казино, ігорні будинки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Музичні та танцювальні зали, дискотеки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 xml:space="preserve">Будівлі для публічних виступів інші </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1262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Музеї та бібліотеки</w:t>
            </w:r>
          </w:p>
        </w:tc>
      </w:tr>
      <w:tr w:rsidR="006C6457" w:rsidRPr="006C6457" w:rsidTr="00377529">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Музеї та художні галереї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Бібліотеки, книгосховища</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Технічні центри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Планетарії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архівів</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зоологічних та ботанічних садів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6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навчальних та дослідних закладів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40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науково-дослідних та проєктно-вишукувальних установ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вищих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шкіл та інших се-редніх навчальних закладів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професійно-техніч-них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lang w:val="en-US"/>
              </w:rPr>
            </w:pPr>
            <w:r w:rsidRPr="006C6457">
              <w:rPr>
                <w:rFonts w:ascii="Times New Roman" w:hAnsi="Times New Roman"/>
                <w:sz w:val="28"/>
                <w:szCs w:val="28"/>
                <w:lang w:val="en-US"/>
              </w:rPr>
              <w:t>1263.5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дошкільних та поза-шкільних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спеціальних навчальних закладів для дітей з особливими потребами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1263.7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закладів з фахової перепідготовки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0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1263.8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метеорологічних станцій, обсерваторій</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p>
          <w:p w:rsidR="006C6457" w:rsidRPr="006C6457" w:rsidRDefault="006C6457" w:rsidP="003B7743">
            <w:pPr>
              <w:spacing w:after="0" w:line="240" w:lineRule="auto"/>
              <w:rPr>
                <w:rFonts w:ascii="Times New Roman" w:hAnsi="Times New Roman"/>
                <w:noProof/>
                <w:sz w:val="28"/>
                <w:szCs w:val="28"/>
                <w:lang w:val="en-US"/>
              </w:rPr>
            </w:pPr>
            <w:r w:rsidRPr="006C6457">
              <w:rPr>
                <w:rFonts w:ascii="Times New Roman" w:hAnsi="Times New Roman"/>
                <w:noProof/>
                <w:sz w:val="28"/>
                <w:szCs w:val="28"/>
                <w:lang w:val="en-US"/>
              </w:rPr>
              <w:t xml:space="preserve">1263.9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Будівлі освітніх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науково-дослідних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9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color w:val="FF0000"/>
                <w:sz w:val="28"/>
                <w:szCs w:val="28"/>
              </w:rPr>
            </w:pPr>
            <w:r w:rsidRPr="006C6457">
              <w:rPr>
                <w:rFonts w:ascii="Times New Roman" w:hAnsi="Times New Roman"/>
                <w:noProof/>
                <w:sz w:val="28"/>
                <w:szCs w:val="28"/>
              </w:rPr>
              <w:t>Будівлі лікарень та оздоровчих закладів</w:t>
            </w:r>
            <w:r w:rsidRPr="006C6457">
              <w:rPr>
                <w:rFonts w:ascii="Times New Roman" w:hAnsi="Times New Roman"/>
                <w:noProof/>
                <w:color w:val="FF0000"/>
                <w:sz w:val="28"/>
                <w:szCs w:val="28"/>
              </w:rPr>
              <w:t xml:space="preserve"> </w:t>
            </w: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46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Лікарні багатопрофільні територіального </w:t>
            </w:r>
            <w:r w:rsidRPr="006C6457">
              <w:rPr>
                <w:rFonts w:ascii="Times New Roman" w:hAnsi="Times New Roman"/>
                <w:noProof/>
                <w:sz w:val="28"/>
                <w:szCs w:val="28"/>
              </w:rPr>
              <w:lastRenderedPageBreak/>
              <w:t>обслуговування, закладів освіти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2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 xml:space="preserve">1264.2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Лікарні профільні, диспансери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Материнські та дитячі реабілітаційні центри, пологові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Поліклініки, пункти медичного обслуговування та консультації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1264.5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Шпиталі виправних закладів, в’язниць та </w:t>
            </w:r>
          </w:p>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Збройних Сил України</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Санаторії, профілакторії та центри функціональної реабілітації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Заклади лікувально-профілактичні та оздоровчі інші</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0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1265</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Зали спортивні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1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1265.1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Зали гімнастичні, баскетбольні, волейбольні, тенісні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1265.2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Басейни криті для плава</w:t>
            </w:r>
            <w:r w:rsidRPr="006C6457">
              <w:rPr>
                <w:rFonts w:ascii="Times New Roman" w:hAnsi="Times New Roman"/>
                <w:noProof/>
                <w:sz w:val="28"/>
                <w:szCs w:val="28"/>
                <w:lang w:val="en-US"/>
              </w:rPr>
              <w:t xml:space="preserve">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Хокейні та льодові стадіони криті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Манежі легкоатлетичні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Тири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16"/>
                <w:szCs w:val="16"/>
                <w:lang w:val="en-US"/>
              </w:rPr>
            </w:pPr>
          </w:p>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Зали спортивні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127</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Будівлі нежитлові інші                                                                               (за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6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1271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 xml:space="preserve">Будівлі сільськогосподарського призначення, лісівництва та рибного господарства </w:t>
            </w: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тваринництва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птахівництва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1271.3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зберігання зерна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силосні та сінажні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для садівництва, виноградарства та виноробства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тепличного господарства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рибного господарства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лісівництва та звірівництва</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4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сільськогосподарського призначення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2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Будівлі для культової та релігійної діяльності</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Церкви, собори, костьоли, мечеті, синагоги тощо</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Похоронні бюро та ритуальні зали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Цвинтарі та крематорії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Пам’ятки історичні та такі, що охороняються державою</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29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Пам’ятки історії та архітектури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0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Археологічні розкопки, руїни та історичні місця, що охороняються державою</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Меморіали, художньо-декоративні будівлі, статуї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 xml:space="preserve">Будівлі інші, не класифіковані раніше </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1274.1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Казарми Збройних Сил</w:t>
            </w:r>
            <w:r w:rsidRPr="006C6457">
              <w:rPr>
                <w:rFonts w:ascii="Times New Roman" w:hAnsi="Times New Roman"/>
                <w:sz w:val="28"/>
                <w:szCs w:val="28"/>
              </w:rPr>
              <w:t xml:space="preserve"> України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1274.2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поліцейських та пожежних служб</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1274.3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r w:rsidRPr="006C6457">
              <w:rPr>
                <w:rFonts w:ascii="Times New Roman" w:hAnsi="Times New Roman"/>
                <w:sz w:val="28"/>
                <w:szCs w:val="28"/>
              </w:rPr>
              <w:t>Будівлі виправних закладів, в’язниць та слідчих ізоляторів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2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Будівлі лазень та пралень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1274.5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з облаштування населених пунктів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bl>
    <w:p w:rsidR="006C6457" w:rsidRPr="006C6457" w:rsidRDefault="006C6457" w:rsidP="003B7743">
      <w:pPr>
        <w:spacing w:after="0"/>
        <w:jc w:val="both"/>
        <w:rPr>
          <w:rFonts w:ascii="Times New Roman" w:hAnsi="Times New Roman"/>
          <w:color w:val="FF0000"/>
          <w:sz w:val="28"/>
          <w:szCs w:val="28"/>
        </w:rPr>
      </w:pP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1.</w:t>
      </w:r>
      <w:r w:rsidRPr="006C6457">
        <w:rPr>
          <w:rFonts w:ascii="Times New Roman" w:hAnsi="Times New Roman"/>
          <w:color w:val="FF0000"/>
          <w:sz w:val="24"/>
          <w:szCs w:val="24"/>
        </w:rPr>
        <w:t xml:space="preserve"> </w:t>
      </w:r>
      <w:r w:rsidRPr="006C6457">
        <w:rPr>
          <w:rFonts w:ascii="Times New Roman" w:hAnsi="Times New Roman"/>
          <w:sz w:val="24"/>
          <w:szCs w:val="24"/>
        </w:rPr>
        <w:t>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17.08.2000 № 507.</w:t>
      </w: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2.</w:t>
      </w:r>
      <w:r w:rsidRPr="006C6457">
        <w:rPr>
          <w:rFonts w:ascii="Times New Roman" w:hAnsi="Times New Roman"/>
          <w:sz w:val="24"/>
          <w:szCs w:val="24"/>
        </w:rPr>
        <w:t xml:space="preserve"> Житлова нерухомість різних видів, а саме: житлові будинки і квартири або їх частини, що перебувають одночасно у власності фізичних осіб, оподатковуються податком на нерухоме майно, відмінне від земельної ділянки, за ставкою 1,5 відсотка від розміру мінімальної заробітної плати, встановленої законом на 01 січня звітного року.</w:t>
      </w: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3.</w:t>
      </w:r>
      <w:r w:rsidRPr="006C6457">
        <w:rPr>
          <w:rFonts w:ascii="Times New Roman" w:hAnsi="Times New Roman"/>
          <w:sz w:val="24"/>
          <w:szCs w:val="24"/>
        </w:rPr>
        <w:t xml:space="preserve"> Ставку податку на нерухоме майно, відмінне від земельної ділянки, по іншій нежитловій нерухомості, що перебуває у власності фізичних або юридичних осіб та не належить до жодної з категорій, установити в розмірі 1 відсотка від розміру мінімальної заробітної плати, встановленої законом на 01 січня звітного року.</w:t>
      </w:r>
    </w:p>
    <w:p w:rsidR="006C6457" w:rsidRPr="003B7743" w:rsidRDefault="006C6457" w:rsidP="003B7743">
      <w:pPr>
        <w:tabs>
          <w:tab w:val="left" w:pos="709"/>
        </w:tabs>
        <w:spacing w:line="240" w:lineRule="auto"/>
        <w:ind w:right="-41" w:firstLine="567"/>
        <w:jc w:val="both"/>
        <w:rPr>
          <w:rFonts w:ascii="Times New Roman" w:hAnsi="Times New Roman"/>
          <w:spacing w:val="-1"/>
          <w:sz w:val="24"/>
          <w:szCs w:val="24"/>
        </w:rPr>
      </w:pPr>
      <w:r w:rsidRPr="006C6457">
        <w:rPr>
          <w:rFonts w:ascii="Times New Roman" w:hAnsi="Times New Roman"/>
          <w:sz w:val="24"/>
          <w:szCs w:val="24"/>
        </w:rPr>
        <w:t xml:space="preserve">  </w:t>
      </w:r>
      <w:r w:rsidRPr="006C6457">
        <w:rPr>
          <w:rFonts w:ascii="Times New Roman" w:hAnsi="Times New Roman"/>
          <w:b/>
          <w:sz w:val="24"/>
          <w:szCs w:val="24"/>
        </w:rPr>
        <w:t>Примітка 4.</w:t>
      </w:r>
      <w:r w:rsidRPr="006C6457">
        <w:rPr>
          <w:rFonts w:ascii="Times New Roman" w:hAnsi="Times New Roman"/>
          <w:sz w:val="24"/>
          <w:szCs w:val="24"/>
        </w:rPr>
        <w:t xml:space="preserve"> </w:t>
      </w:r>
      <w:r w:rsidRPr="006C6457">
        <w:rPr>
          <w:rFonts w:ascii="Times New Roman" w:hAnsi="Times New Roman"/>
          <w:spacing w:val="-1"/>
          <w:sz w:val="24"/>
          <w:szCs w:val="24"/>
        </w:rPr>
        <w:t>Ставки податку на нерухоме майно, відмінне від земельної ділянки, встановлено в залежності від зон. Межі зон визначаються рішенням міської ради про затвердження мінімальної вартості місячної оренди одного квадратного метра загальної площі нерухомого майна фізичних осіб.</w:t>
      </w:r>
    </w:p>
    <w:p w:rsidR="006C6457" w:rsidRPr="006C6457" w:rsidRDefault="006C6457" w:rsidP="003B7743">
      <w:pPr>
        <w:spacing w:line="240" w:lineRule="auto"/>
        <w:ind w:right="-180" w:firstLine="567"/>
        <w:jc w:val="both"/>
        <w:rPr>
          <w:rFonts w:ascii="Times New Roman" w:hAnsi="Times New Roman"/>
          <w:sz w:val="24"/>
          <w:szCs w:val="24"/>
        </w:rPr>
      </w:pPr>
      <w:r w:rsidRPr="006C6457">
        <w:rPr>
          <w:rFonts w:ascii="Times New Roman" w:hAnsi="Times New Roman"/>
          <w:b/>
          <w:sz w:val="24"/>
          <w:szCs w:val="24"/>
        </w:rPr>
        <w:t xml:space="preserve">  Примітка 5.</w:t>
      </w:r>
      <w:r w:rsidRPr="006C6457">
        <w:rPr>
          <w:rFonts w:ascii="Times New Roman" w:hAnsi="Times New Roman"/>
          <w:sz w:val="24"/>
          <w:szCs w:val="24"/>
        </w:rPr>
        <w:t xml:space="preserve"> Окремо розташовані багаторівневі (багатоповерхові) паркінги, з часу прийняття в експлуатацію яких минуло не більше 5 років (включно), </w:t>
      </w:r>
      <w:r w:rsidRPr="006C6457">
        <w:rPr>
          <w:rFonts w:ascii="Times New Roman" w:hAnsi="Times New Roman"/>
          <w:sz w:val="24"/>
        </w:rPr>
        <w:t xml:space="preserve">визначаються відповідно до  кодів </w:t>
      </w:r>
      <w:r w:rsidRPr="006C6457">
        <w:rPr>
          <w:rFonts w:ascii="Times New Roman" w:hAnsi="Times New Roman"/>
          <w:color w:val="000000"/>
          <w:sz w:val="24"/>
          <w:shd w:val="clear" w:color="auto" w:fill="FFFFFF"/>
        </w:rPr>
        <w:t xml:space="preserve">1242.1 та 1242.2 </w:t>
      </w:r>
      <w:r w:rsidRPr="006C6457">
        <w:rPr>
          <w:rFonts w:ascii="Times New Roman" w:hAnsi="Times New Roman"/>
          <w:sz w:val="24"/>
        </w:rPr>
        <w:t xml:space="preserve">класифікації будівель та споруд цього додатка </w:t>
      </w:r>
      <w:r w:rsidRPr="006C6457">
        <w:rPr>
          <w:rFonts w:ascii="Times New Roman" w:hAnsi="Times New Roman"/>
          <w:sz w:val="24"/>
          <w:szCs w:val="24"/>
        </w:rPr>
        <w:t xml:space="preserve">і оподатковуються податком на нерухоме майно, відмінне від земельної ділянки, за ставками відповідно до зон, а саме: </w:t>
      </w:r>
    </w:p>
    <w:p w:rsidR="006C6457" w:rsidRPr="006C6457" w:rsidRDefault="006C6457" w:rsidP="003B7743">
      <w:pPr>
        <w:tabs>
          <w:tab w:val="left" w:pos="1134"/>
        </w:tabs>
        <w:spacing w:after="0" w:line="240" w:lineRule="auto"/>
        <w:ind w:right="-180" w:firstLine="708"/>
        <w:jc w:val="both"/>
        <w:rPr>
          <w:rFonts w:ascii="Times New Roman" w:hAnsi="Times New Roman"/>
          <w:sz w:val="24"/>
          <w:szCs w:val="24"/>
        </w:rPr>
      </w:pP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1 зона – 0,500 відсотка розміру мінімальної заробітної плати за 1 кв. метр;</w:t>
      </w:r>
    </w:p>
    <w:p w:rsidR="006C6457" w:rsidRPr="006C6457" w:rsidRDefault="006C6457" w:rsidP="003B7743">
      <w:pPr>
        <w:tabs>
          <w:tab w:val="left" w:pos="1134"/>
        </w:tabs>
        <w:spacing w:after="0" w:line="240" w:lineRule="auto"/>
        <w:ind w:right="-180" w:firstLine="567"/>
        <w:jc w:val="both"/>
        <w:rPr>
          <w:rFonts w:ascii="Times New Roman" w:hAnsi="Times New Roman"/>
          <w:sz w:val="24"/>
          <w:szCs w:val="24"/>
        </w:rPr>
      </w:pPr>
      <w:r w:rsidRPr="006C6457">
        <w:rPr>
          <w:rFonts w:ascii="Times New Roman" w:hAnsi="Times New Roman"/>
          <w:sz w:val="24"/>
          <w:szCs w:val="24"/>
        </w:rPr>
        <w:t xml:space="preserve">  </w:t>
      </w: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2 зона – 0,500 відсотка розміру мінімальної заробітної плати за 1 кв. метр;</w:t>
      </w:r>
    </w:p>
    <w:p w:rsidR="006C6457" w:rsidRPr="006C6457" w:rsidRDefault="006C6457" w:rsidP="003B7743">
      <w:pPr>
        <w:tabs>
          <w:tab w:val="left" w:pos="1134"/>
        </w:tabs>
        <w:spacing w:line="240" w:lineRule="auto"/>
        <w:ind w:right="-180" w:firstLine="567"/>
        <w:jc w:val="both"/>
        <w:rPr>
          <w:rFonts w:ascii="Times New Roman" w:hAnsi="Times New Roman"/>
          <w:sz w:val="24"/>
          <w:szCs w:val="24"/>
        </w:rPr>
      </w:pPr>
      <w:r w:rsidRPr="006C6457">
        <w:rPr>
          <w:rFonts w:ascii="Times New Roman" w:hAnsi="Times New Roman"/>
          <w:sz w:val="24"/>
          <w:szCs w:val="24"/>
        </w:rPr>
        <w:t xml:space="preserve">  </w:t>
      </w: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3 зона – 0,250 відсотка розміру мінімальної заробітної плати за 1 кв. метр.</w:t>
      </w:r>
    </w:p>
    <w:p w:rsidR="006C6457" w:rsidRPr="006C6457" w:rsidRDefault="006C6457" w:rsidP="006C6457">
      <w:pPr>
        <w:jc w:val="both"/>
        <w:rPr>
          <w:rFonts w:ascii="Times New Roman" w:hAnsi="Times New Roman"/>
          <w:sz w:val="28"/>
          <w:szCs w:val="28"/>
        </w:rPr>
      </w:pPr>
    </w:p>
    <w:p w:rsidR="002E4313" w:rsidRPr="002F0BF7" w:rsidRDefault="006C6457" w:rsidP="002F0BF7">
      <w:pPr>
        <w:ind w:right="-1"/>
        <w:jc w:val="both"/>
        <w:rPr>
          <w:rFonts w:ascii="Times New Roman" w:hAnsi="Times New Roman"/>
          <w:sz w:val="28"/>
          <w:szCs w:val="28"/>
        </w:rPr>
      </w:pPr>
      <w:r w:rsidRPr="006C6457">
        <w:rPr>
          <w:rFonts w:ascii="Times New Roman" w:hAnsi="Times New Roman"/>
          <w:sz w:val="28"/>
          <w:szCs w:val="28"/>
        </w:rPr>
        <w:t xml:space="preserve">Міський  голова                                                                </w:t>
      </w:r>
      <w:r w:rsidR="002F0BF7">
        <w:rPr>
          <w:rFonts w:ascii="Times New Roman" w:hAnsi="Times New Roman"/>
          <w:sz w:val="28"/>
          <w:szCs w:val="28"/>
        </w:rPr>
        <w:t xml:space="preserve">                   Б. А. Філатов</w:t>
      </w:r>
    </w:p>
    <w:p w:rsidR="00A40484" w:rsidRPr="002E4313" w:rsidRDefault="00A40484" w:rsidP="009D0997">
      <w:pPr>
        <w:widowControl w:val="0"/>
        <w:spacing w:after="0" w:line="240" w:lineRule="auto"/>
        <w:ind w:left="5663" w:firstLine="709"/>
        <w:rPr>
          <w:rFonts w:ascii="Times New Roman" w:hAnsi="Times New Roman"/>
          <w:bCs/>
          <w:color w:val="000000"/>
          <w:sz w:val="28"/>
          <w:szCs w:val="28"/>
        </w:rPr>
      </w:pPr>
      <w:r w:rsidRPr="002E4313">
        <w:rPr>
          <w:rFonts w:ascii="Times New Roman" w:hAnsi="Times New Roman"/>
          <w:bCs/>
          <w:color w:val="000000"/>
          <w:sz w:val="28"/>
          <w:szCs w:val="28"/>
        </w:rPr>
        <w:lastRenderedPageBreak/>
        <w:t>Додаток 2</w:t>
      </w:r>
    </w:p>
    <w:p w:rsidR="00A40484" w:rsidRPr="002E4313" w:rsidRDefault="00A40484" w:rsidP="009D0997">
      <w:pPr>
        <w:widowControl w:val="0"/>
        <w:spacing w:after="0" w:line="240" w:lineRule="auto"/>
        <w:ind w:left="5664" w:firstLine="708"/>
        <w:rPr>
          <w:rFonts w:ascii="Times New Roman" w:hAnsi="Times New Roman"/>
          <w:bCs/>
          <w:color w:val="000000"/>
          <w:sz w:val="28"/>
          <w:szCs w:val="28"/>
        </w:rPr>
      </w:pPr>
      <w:r w:rsidRPr="002E4313">
        <w:rPr>
          <w:rFonts w:ascii="Times New Roman" w:hAnsi="Times New Roman"/>
          <w:bCs/>
          <w:color w:val="000000"/>
          <w:sz w:val="28"/>
          <w:szCs w:val="28"/>
        </w:rPr>
        <w:t>до рішення міської ради</w:t>
      </w:r>
    </w:p>
    <w:p w:rsidR="00A40484" w:rsidRPr="002E4313" w:rsidRDefault="00A40484" w:rsidP="009D0997">
      <w:pPr>
        <w:widowControl w:val="0"/>
        <w:spacing w:after="0" w:line="240" w:lineRule="auto"/>
        <w:rPr>
          <w:rFonts w:ascii="Times New Roman" w:hAnsi="Times New Roman"/>
          <w:sz w:val="28"/>
          <w:szCs w:val="28"/>
        </w:rPr>
      </w:pP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sz w:val="28"/>
          <w:szCs w:val="28"/>
        </w:rPr>
        <w:t>від 06.12.2017 № 12/27</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 xml:space="preserve">  (у редакції рішення</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 xml:space="preserve">  міської ради</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ab/>
        <w:t>__________  № _____)</w:t>
      </w:r>
    </w:p>
    <w:p w:rsidR="009D0997" w:rsidRPr="00782D3F" w:rsidRDefault="00A40484" w:rsidP="00782D3F">
      <w:pPr>
        <w:pStyle w:val="af9"/>
        <w:spacing w:after="0"/>
        <w:rPr>
          <w:rFonts w:ascii="Times New Roman" w:hAnsi="Times New Roman"/>
          <w:b w:val="0"/>
          <w:sz w:val="28"/>
          <w:szCs w:val="28"/>
        </w:rPr>
      </w:pPr>
      <w:r w:rsidRPr="00A40484">
        <w:rPr>
          <w:rFonts w:ascii="Times New Roman" w:hAnsi="Times New Roman"/>
          <w:b w:val="0"/>
          <w:sz w:val="28"/>
          <w:szCs w:val="28"/>
        </w:rPr>
        <w:t>ПЕРЕЛІК</w:t>
      </w:r>
      <w:r w:rsidRPr="00A40484">
        <w:rPr>
          <w:rFonts w:ascii="Times New Roman" w:hAnsi="Times New Roman"/>
          <w:b w:val="0"/>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40484" w:rsidRPr="00A40484" w:rsidRDefault="00A40484" w:rsidP="00782D3F">
      <w:pPr>
        <w:pStyle w:val="af7"/>
        <w:jc w:val="both"/>
        <w:rPr>
          <w:rFonts w:ascii="Times New Roman" w:hAnsi="Times New Roman"/>
          <w:sz w:val="28"/>
          <w:szCs w:val="28"/>
        </w:rPr>
      </w:pPr>
      <w:r w:rsidRPr="00A40484">
        <w:rPr>
          <w:rFonts w:ascii="Times New Roman" w:hAnsi="Times New Roman"/>
          <w:sz w:val="28"/>
          <w:szCs w:val="28"/>
        </w:rPr>
        <w:t>Адміністративно-територіальна одиниця або населений пункт, або територія об’єднаної територіальної громади, на яку поширюється дія рішення міської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852"/>
        <w:gridCol w:w="2603"/>
        <w:gridCol w:w="2534"/>
        <w:gridCol w:w="220"/>
        <w:gridCol w:w="1752"/>
      </w:tblGrid>
      <w:tr w:rsidR="002E4313" w:rsidRPr="00A40484" w:rsidTr="002E4313">
        <w:trPr>
          <w:trHeight w:val="1396"/>
        </w:trPr>
        <w:tc>
          <w:tcPr>
            <w:tcW w:w="1308" w:type="pct"/>
            <w:gridSpan w:val="2"/>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області</w:t>
            </w:r>
          </w:p>
        </w:tc>
        <w:tc>
          <w:tcPr>
            <w:tcW w:w="1352" w:type="pct"/>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району</w:t>
            </w:r>
          </w:p>
        </w:tc>
        <w:tc>
          <w:tcPr>
            <w:tcW w:w="1316" w:type="pct"/>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міста</w:t>
            </w:r>
          </w:p>
        </w:tc>
        <w:tc>
          <w:tcPr>
            <w:tcW w:w="1024" w:type="pct"/>
            <w:gridSpan w:val="2"/>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Найменування адміністративно-територіальної одиниці</w:t>
            </w:r>
            <w:r w:rsidRPr="00782D3F">
              <w:rPr>
                <w:rFonts w:ascii="Times New Roman" w:hAnsi="Times New Roman"/>
                <w:sz w:val="22"/>
                <w:szCs w:val="22"/>
              </w:rPr>
              <w:br/>
              <w:t>або населеного пункту, або території об’єднаної територіальної громади</w:t>
            </w:r>
          </w:p>
        </w:tc>
      </w:tr>
      <w:tr w:rsidR="002E4313" w:rsidRPr="00A40484" w:rsidTr="002E4313">
        <w:trPr>
          <w:trHeight w:val="499"/>
        </w:trPr>
        <w:tc>
          <w:tcPr>
            <w:tcW w:w="1308" w:type="pct"/>
            <w:gridSpan w:val="2"/>
            <w:vAlign w:val="center"/>
          </w:tcPr>
          <w:p w:rsidR="00A40484" w:rsidRPr="00782D3F" w:rsidRDefault="00A40484" w:rsidP="00377529">
            <w:pPr>
              <w:pStyle w:val="af7"/>
              <w:spacing w:before="0"/>
              <w:ind w:hanging="113"/>
              <w:jc w:val="center"/>
              <w:rPr>
                <w:rFonts w:ascii="Times New Roman" w:hAnsi="Times New Roman"/>
                <w:bCs/>
                <w:sz w:val="22"/>
                <w:szCs w:val="22"/>
                <w:shd w:val="clear" w:color="auto" w:fill="FFFFFF"/>
              </w:rPr>
            </w:pPr>
            <w:r w:rsidRPr="00782D3F">
              <w:rPr>
                <w:rFonts w:ascii="Times New Roman" w:hAnsi="Times New Roman"/>
                <w:bCs/>
                <w:sz w:val="22"/>
                <w:szCs w:val="22"/>
                <w:shd w:val="clear" w:color="auto" w:fill="FFFFFF"/>
              </w:rPr>
              <w:t>UA12000000000090473</w:t>
            </w:r>
          </w:p>
        </w:tc>
        <w:tc>
          <w:tcPr>
            <w:tcW w:w="1352" w:type="pct"/>
            <w:vAlign w:val="center"/>
          </w:tcPr>
          <w:p w:rsidR="00A40484" w:rsidRPr="00782D3F" w:rsidRDefault="00A40484" w:rsidP="00377529">
            <w:pPr>
              <w:pStyle w:val="af7"/>
              <w:spacing w:before="0"/>
              <w:ind w:firstLine="0"/>
              <w:rPr>
                <w:rFonts w:ascii="Times New Roman" w:hAnsi="Times New Roman"/>
                <w:sz w:val="22"/>
                <w:szCs w:val="22"/>
              </w:rPr>
            </w:pPr>
            <w:r w:rsidRPr="00782D3F">
              <w:rPr>
                <w:rFonts w:ascii="Times New Roman" w:hAnsi="Times New Roman"/>
                <w:sz w:val="22"/>
                <w:szCs w:val="22"/>
              </w:rPr>
              <w:t>UA12020000000052809</w:t>
            </w:r>
          </w:p>
        </w:tc>
        <w:tc>
          <w:tcPr>
            <w:tcW w:w="1316" w:type="pct"/>
            <w:vAlign w:val="center"/>
          </w:tcPr>
          <w:p w:rsidR="00A40484" w:rsidRPr="00782D3F" w:rsidRDefault="00A40484" w:rsidP="00377529">
            <w:pPr>
              <w:pStyle w:val="af7"/>
              <w:spacing w:before="0"/>
              <w:ind w:hanging="68"/>
              <w:jc w:val="center"/>
              <w:rPr>
                <w:rFonts w:ascii="Times New Roman" w:hAnsi="Times New Roman"/>
                <w:sz w:val="22"/>
                <w:szCs w:val="22"/>
              </w:rPr>
            </w:pPr>
            <w:r w:rsidRPr="00782D3F">
              <w:rPr>
                <w:rFonts w:ascii="Times New Roman" w:hAnsi="Times New Roman"/>
                <w:bCs/>
                <w:sz w:val="22"/>
                <w:szCs w:val="22"/>
                <w:shd w:val="clear" w:color="auto" w:fill="FFFFFF"/>
              </w:rPr>
              <w:t>UA12020010010037010</w:t>
            </w:r>
          </w:p>
        </w:tc>
        <w:tc>
          <w:tcPr>
            <w:tcW w:w="1024" w:type="pct"/>
            <w:gridSpan w:val="2"/>
            <w:vAlign w:val="center"/>
          </w:tcPr>
          <w:p w:rsidR="00A40484" w:rsidRPr="00782D3F" w:rsidRDefault="00A40484" w:rsidP="00377529">
            <w:pPr>
              <w:pStyle w:val="af7"/>
              <w:spacing w:before="0"/>
              <w:ind w:firstLine="28"/>
              <w:jc w:val="center"/>
              <w:rPr>
                <w:rFonts w:ascii="Times New Roman" w:hAnsi="Times New Roman"/>
                <w:sz w:val="22"/>
                <w:szCs w:val="22"/>
              </w:rPr>
            </w:pPr>
            <w:r w:rsidRPr="00782D3F">
              <w:rPr>
                <w:rFonts w:ascii="Times New Roman" w:hAnsi="Times New Roman"/>
                <w:sz w:val="22"/>
                <w:szCs w:val="22"/>
              </w:rPr>
              <w:t>Місто Дніпро</w:t>
            </w:r>
          </w:p>
        </w:tc>
      </w:tr>
      <w:tr w:rsidR="00A40484" w:rsidRPr="00A40484" w:rsidTr="009D0997">
        <w:tblPrEx>
          <w:tblLook w:val="04A0" w:firstRow="1" w:lastRow="0" w:firstColumn="1" w:lastColumn="0" w:noHBand="0" w:noVBand="1"/>
        </w:tblPrEx>
        <w:trPr>
          <w:trHeight w:val="1737"/>
          <w:tblHeader/>
        </w:trPr>
        <w:tc>
          <w:tcPr>
            <w:tcW w:w="346" w:type="pct"/>
          </w:tcPr>
          <w:p w:rsidR="00A40484" w:rsidRPr="002E4313" w:rsidRDefault="00A40484" w:rsidP="009D0997">
            <w:pPr>
              <w:spacing w:after="0"/>
              <w:jc w:val="center"/>
              <w:rPr>
                <w:rFonts w:ascii="Times New Roman" w:hAnsi="Times New Roman"/>
                <w:sz w:val="24"/>
                <w:szCs w:val="24"/>
              </w:rPr>
            </w:pPr>
            <w:r w:rsidRPr="002E4313">
              <w:rPr>
                <w:rFonts w:ascii="Times New Roman" w:hAnsi="Times New Roman"/>
                <w:sz w:val="24"/>
                <w:szCs w:val="24"/>
              </w:rPr>
              <w:t>№ з/п</w:t>
            </w:r>
          </w:p>
        </w:tc>
        <w:tc>
          <w:tcPr>
            <w:tcW w:w="3744" w:type="pct"/>
            <w:gridSpan w:val="4"/>
            <w:shd w:val="clear" w:color="auto" w:fill="auto"/>
            <w:vAlign w:val="center"/>
          </w:tcPr>
          <w:p w:rsidR="00A40484" w:rsidRPr="002E4313" w:rsidRDefault="00A40484" w:rsidP="009D0997">
            <w:pPr>
              <w:spacing w:after="0"/>
              <w:ind w:right="223"/>
              <w:jc w:val="center"/>
              <w:rPr>
                <w:rFonts w:ascii="Times New Roman" w:hAnsi="Times New Roman"/>
                <w:sz w:val="24"/>
                <w:szCs w:val="24"/>
              </w:rPr>
            </w:pPr>
            <w:r w:rsidRPr="002E4313">
              <w:rPr>
                <w:rFonts w:ascii="Times New Roman" w:hAnsi="Times New Roman"/>
                <w:sz w:val="24"/>
                <w:szCs w:val="24"/>
              </w:rPr>
              <w:t>Група платників, категорія/класифікація</w:t>
            </w:r>
            <w:r w:rsidRPr="002E4313">
              <w:rPr>
                <w:rFonts w:ascii="Times New Roman" w:hAnsi="Times New Roman"/>
                <w:sz w:val="24"/>
                <w:szCs w:val="24"/>
              </w:rPr>
              <w:br/>
              <w:t>будівель та споруд</w:t>
            </w:r>
            <w:r w:rsidRPr="002E4313">
              <w:rPr>
                <w:rFonts w:ascii="Times New Roman" w:hAnsi="Times New Roman"/>
                <w:b/>
                <w:color w:val="000000"/>
                <w:spacing w:val="-4"/>
                <w:sz w:val="24"/>
                <w:szCs w:val="24"/>
              </w:rPr>
              <w:t xml:space="preserve"> </w:t>
            </w:r>
          </w:p>
        </w:tc>
        <w:tc>
          <w:tcPr>
            <w:tcW w:w="909" w:type="pct"/>
            <w:shd w:val="clear" w:color="auto" w:fill="auto"/>
            <w:vAlign w:val="center"/>
          </w:tcPr>
          <w:p w:rsidR="00A40484" w:rsidRPr="002E4313" w:rsidRDefault="00A40484" w:rsidP="00782D3F">
            <w:pPr>
              <w:spacing w:after="0" w:line="240" w:lineRule="auto"/>
              <w:jc w:val="center"/>
              <w:rPr>
                <w:rFonts w:ascii="Times New Roman" w:hAnsi="Times New Roman"/>
                <w:sz w:val="24"/>
                <w:szCs w:val="24"/>
              </w:rPr>
            </w:pPr>
            <w:r w:rsidRPr="002E4313">
              <w:rPr>
                <w:rFonts w:ascii="Times New Roman" w:hAnsi="Times New Roman"/>
                <w:sz w:val="24"/>
                <w:szCs w:val="24"/>
              </w:rPr>
              <w:t>Розмір пільги</w:t>
            </w:r>
            <w:r w:rsidRPr="002E4313">
              <w:rPr>
                <w:rFonts w:ascii="Times New Roman" w:hAnsi="Times New Roman"/>
                <w:sz w:val="24"/>
                <w:szCs w:val="24"/>
              </w:rPr>
              <w:br/>
              <w:t xml:space="preserve">(відсотків суми </w:t>
            </w:r>
            <w:r w:rsidR="002E4313">
              <w:rPr>
                <w:rFonts w:ascii="Times New Roman" w:hAnsi="Times New Roman"/>
                <w:sz w:val="24"/>
                <w:szCs w:val="24"/>
              </w:rPr>
              <w:t>податкового зобов’язання за рік)</w:t>
            </w:r>
          </w:p>
        </w:tc>
      </w:tr>
      <w:tr w:rsidR="00A40484" w:rsidRPr="00A40484" w:rsidTr="009D0997">
        <w:tblPrEx>
          <w:tblLook w:val="04A0" w:firstRow="1" w:lastRow="0" w:firstColumn="1" w:lastColumn="0" w:noHBand="0" w:noVBand="1"/>
        </w:tblPrEx>
        <w:trPr>
          <w:tblHeader/>
        </w:trPr>
        <w:tc>
          <w:tcPr>
            <w:tcW w:w="346" w:type="pct"/>
          </w:tcPr>
          <w:p w:rsidR="00A40484" w:rsidRPr="00A40484" w:rsidRDefault="00A40484" w:rsidP="00377529">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w:t>
            </w:r>
          </w:p>
        </w:tc>
        <w:tc>
          <w:tcPr>
            <w:tcW w:w="3744" w:type="pct"/>
            <w:gridSpan w:val="4"/>
            <w:shd w:val="clear" w:color="auto" w:fill="auto"/>
          </w:tcPr>
          <w:p w:rsidR="00A40484" w:rsidRPr="00A40484" w:rsidRDefault="00A40484" w:rsidP="00377529">
            <w:pPr>
              <w:pStyle w:val="2"/>
              <w:spacing w:line="228" w:lineRule="auto"/>
              <w:ind w:right="223"/>
              <w:rPr>
                <w:rFonts w:ascii="Times New Roman" w:hAnsi="Times New Roman"/>
                <w:b w:val="0"/>
                <w:color w:val="000000"/>
                <w:spacing w:val="-4"/>
                <w:szCs w:val="28"/>
              </w:rPr>
            </w:pPr>
            <w:r w:rsidRPr="00A40484">
              <w:rPr>
                <w:rFonts w:ascii="Times New Roman" w:hAnsi="Times New Roman"/>
                <w:b w:val="0"/>
                <w:color w:val="000000"/>
                <w:spacing w:val="-4"/>
                <w:szCs w:val="28"/>
              </w:rPr>
              <w:t>2</w:t>
            </w:r>
          </w:p>
        </w:tc>
        <w:tc>
          <w:tcPr>
            <w:tcW w:w="909" w:type="pct"/>
            <w:shd w:val="clear" w:color="auto" w:fill="auto"/>
          </w:tcPr>
          <w:p w:rsidR="00A40484" w:rsidRPr="00A40484" w:rsidRDefault="00A40484" w:rsidP="00377529">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3</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color w:val="000000"/>
                <w:sz w:val="26"/>
                <w:szCs w:val="26"/>
              </w:rPr>
            </w:pPr>
            <w:r w:rsidRPr="002E4313">
              <w:rPr>
                <w:rFonts w:ascii="Times New Roman" w:hAnsi="Times New Roman"/>
                <w:color w:val="000000"/>
                <w:sz w:val="26"/>
                <w:szCs w:val="26"/>
              </w:rPr>
              <w:t>1</w:t>
            </w:r>
          </w:p>
        </w:tc>
        <w:tc>
          <w:tcPr>
            <w:tcW w:w="4654" w:type="pct"/>
            <w:gridSpan w:val="5"/>
            <w:shd w:val="clear" w:color="auto" w:fill="auto"/>
          </w:tcPr>
          <w:p w:rsidR="00A40484" w:rsidRPr="002E4313" w:rsidRDefault="00A40484" w:rsidP="00782D3F">
            <w:pPr>
              <w:pStyle w:val="2"/>
              <w:rPr>
                <w:rFonts w:ascii="Times New Roman" w:hAnsi="Times New Roman"/>
                <w:b w:val="0"/>
                <w:color w:val="000000"/>
                <w:spacing w:val="-4"/>
                <w:sz w:val="26"/>
                <w:szCs w:val="26"/>
              </w:rPr>
            </w:pPr>
            <w:r w:rsidRPr="002E4313">
              <w:rPr>
                <w:rFonts w:ascii="Times New Roman" w:hAnsi="Times New Roman"/>
                <w:b w:val="0"/>
                <w:sz w:val="26"/>
                <w:szCs w:val="26"/>
                <w:shd w:val="clear" w:color="auto" w:fill="FFFFFF"/>
              </w:rPr>
              <w:t>Пільги, які передбачено пунктом 266.4 статті 266 Податкового кодексу України</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color w:val="000000"/>
                <w:sz w:val="26"/>
                <w:szCs w:val="26"/>
              </w:rPr>
            </w:pPr>
            <w:r w:rsidRPr="002E4313">
              <w:rPr>
                <w:rFonts w:ascii="Times New Roman" w:hAnsi="Times New Roman"/>
                <w:color w:val="000000"/>
                <w:sz w:val="26"/>
                <w:szCs w:val="26"/>
              </w:rPr>
              <w:t>2</w:t>
            </w:r>
          </w:p>
        </w:tc>
        <w:tc>
          <w:tcPr>
            <w:tcW w:w="4654" w:type="pct"/>
            <w:gridSpan w:val="5"/>
            <w:shd w:val="clear" w:color="auto" w:fill="auto"/>
          </w:tcPr>
          <w:p w:rsidR="00A40484" w:rsidRPr="002E4313" w:rsidRDefault="00A40484" w:rsidP="00782D3F">
            <w:pPr>
              <w:pStyle w:val="2"/>
              <w:rPr>
                <w:rFonts w:ascii="Times New Roman" w:hAnsi="Times New Roman"/>
                <w:b w:val="0"/>
                <w:spacing w:val="-4"/>
                <w:sz w:val="26"/>
                <w:szCs w:val="26"/>
              </w:rPr>
            </w:pPr>
            <w:r w:rsidRPr="002E4313">
              <w:rPr>
                <w:rFonts w:ascii="Times New Roman" w:hAnsi="Times New Roman"/>
                <w:b w:val="0"/>
                <w:sz w:val="26"/>
                <w:szCs w:val="26"/>
                <w:shd w:val="clear" w:color="auto" w:fill="FFFFFF"/>
              </w:rPr>
              <w:t xml:space="preserve">База оподаткування об’єкта/об’єктів житлової нерухомості, в тому числі їх часток, що перебувають у власності фізичної особи </w:t>
            </w:r>
            <w:r w:rsidRPr="002E4313">
              <w:rPr>
                <w:rFonts w:ascii="Times New Roman" w:hAnsi="Times New Roman"/>
                <w:b w:val="0"/>
                <w:sz w:val="26"/>
                <w:szCs w:val="26"/>
                <w:shd w:val="clear" w:color="auto" w:fill="FFFFFF"/>
              </w:rPr>
              <w:sym w:font="Symbol" w:char="F02D"/>
            </w:r>
            <w:r w:rsidRPr="002E4313">
              <w:rPr>
                <w:rFonts w:ascii="Times New Roman" w:hAnsi="Times New Roman"/>
                <w:b w:val="0"/>
                <w:sz w:val="26"/>
                <w:szCs w:val="26"/>
                <w:shd w:val="clear" w:color="auto" w:fill="FFFFFF"/>
              </w:rPr>
              <w:t xml:space="preserve"> платника податку, зменшується:</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t>2.1</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На всю площу квартири/житлового будинку, що належить на праві власності учаснику антитерористичної операції та членам сімей загиблих учасників антитерористичної операції, ветерану війни та особі, на яких поширюється дія Закону України «Про статус ветеранів війни, гарантії їх соціального захисту», фізичній особі, яку законом визнано особою, яка постраждала внаслідок Чорнобильської катастрофи, але не більше одного об'єкта</w:t>
            </w:r>
            <w:bookmarkStart w:id="1" w:name="71"/>
            <w:bookmarkStart w:id="2" w:name="72"/>
            <w:bookmarkEnd w:id="1"/>
            <w:bookmarkEnd w:id="2"/>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p>
          <w:p w:rsidR="00A40484" w:rsidRPr="00A40484" w:rsidRDefault="00A40484" w:rsidP="00782D3F">
            <w:pPr>
              <w:pStyle w:val="2"/>
              <w:spacing w:line="228" w:lineRule="auto"/>
              <w:rPr>
                <w:rFonts w:ascii="Times New Roman" w:hAnsi="Times New Roman"/>
                <w:b w:val="0"/>
                <w:color w:val="000000"/>
                <w:spacing w:val="-4"/>
                <w:szCs w:val="28"/>
                <w:lang w:val="ru-UA"/>
              </w:rPr>
            </w:pPr>
          </w:p>
          <w:p w:rsidR="00A40484" w:rsidRPr="00A40484" w:rsidRDefault="00A40484" w:rsidP="00782D3F">
            <w:pPr>
              <w:pStyle w:val="2"/>
              <w:spacing w:line="228" w:lineRule="auto"/>
              <w:rPr>
                <w:rFonts w:ascii="Times New Roman" w:hAnsi="Times New Roman"/>
                <w:b w:val="0"/>
                <w:color w:val="000000"/>
                <w:spacing w:val="-4"/>
                <w:szCs w:val="28"/>
                <w:lang w:val="ru-UA"/>
              </w:rPr>
            </w:pPr>
            <w:r w:rsidRPr="00A40484">
              <w:rPr>
                <w:rFonts w:ascii="Times New Roman" w:hAnsi="Times New Roman"/>
                <w:b w:val="0"/>
                <w:color w:val="000000"/>
                <w:spacing w:val="-4"/>
                <w:szCs w:val="28"/>
                <w:lang w:val="ru-UA"/>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t>2.2</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На всю площу квартири, що належить особі з інвалідністю першої, другої та третьої групи на праві власності, але не б</w:t>
            </w:r>
            <w:r w:rsidR="00782D3F">
              <w:rPr>
                <w:rFonts w:ascii="Times New Roman" w:hAnsi="Times New Roman"/>
                <w:sz w:val="26"/>
                <w:szCs w:val="26"/>
              </w:rPr>
              <w:t>ільше одного об’єкта</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r w:rsidRPr="00A40484">
              <w:rPr>
                <w:rFonts w:ascii="Times New Roman" w:hAnsi="Times New Roman"/>
                <w:b w:val="0"/>
                <w:color w:val="000000"/>
                <w:spacing w:val="-4"/>
                <w:szCs w:val="28"/>
                <w:lang w:val="ru-UA"/>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lastRenderedPageBreak/>
              <w:t>3</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Звільняються від сплати податку:</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3.1</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Об’єкти нерухомості, що перебувають у власності вете-ранських громадських неприбуткових організацій, за-реєстрованих у встановленому законом порядку, і здійснюють свою діяльність відповідно до ст. 20 Закону          України «Про статус ветеранів війни, гарантії їх соціального захисту», які використовуються для тимчасового забезпечення житлом осіб з інвалідністю внаслідок війни та учасників бойових дій</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3.2</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pacing w:val="-5"/>
                <w:sz w:val="26"/>
                <w:szCs w:val="26"/>
              </w:rPr>
            </w:pPr>
            <w:r w:rsidRPr="002E4313">
              <w:rPr>
                <w:rFonts w:ascii="Times New Roman" w:hAnsi="Times New Roman"/>
                <w:spacing w:val="-5"/>
                <w:sz w:val="26"/>
                <w:szCs w:val="26"/>
              </w:rPr>
              <w:t xml:space="preserve">Окремо розташовані господарські (присадибні) будівлі, що перебувають у власності фізичних осіб, </w:t>
            </w:r>
            <w:r w:rsidRPr="002E4313">
              <w:rPr>
                <w:rFonts w:ascii="Times New Roman" w:hAnsi="Times New Roman"/>
                <w:spacing w:val="-5"/>
                <w:sz w:val="26"/>
                <w:szCs w:val="26"/>
              </w:rPr>
              <w:sym w:font="Symbol" w:char="F02D"/>
            </w:r>
            <w:r w:rsidRPr="002E4313">
              <w:rPr>
                <w:rFonts w:ascii="Times New Roman" w:hAnsi="Times New Roman"/>
                <w:spacing w:val="-5"/>
                <w:sz w:val="26"/>
                <w:szCs w:val="26"/>
              </w:rPr>
              <w:t xml:space="preserve"> допоміжні (нежитлові) приміщення, до яких належать сараї, хліви, гаражі, майстерні, вбиральні, погреби, навіси, котельні, бойлерні, трансформаторні підстанції тощо</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3.3</w:t>
            </w:r>
          </w:p>
        </w:tc>
        <w:tc>
          <w:tcPr>
            <w:tcW w:w="3744" w:type="pct"/>
            <w:gridSpan w:val="4"/>
            <w:shd w:val="clear" w:color="auto" w:fill="auto"/>
          </w:tcPr>
          <w:p w:rsidR="00A40484" w:rsidRPr="002E4313" w:rsidRDefault="00A40484" w:rsidP="00782D3F">
            <w:pPr>
              <w:tabs>
                <w:tab w:val="left" w:pos="6837"/>
              </w:tabs>
              <w:spacing w:after="0" w:line="240" w:lineRule="auto"/>
              <w:jc w:val="both"/>
              <w:rPr>
                <w:rFonts w:ascii="Times New Roman" w:hAnsi="Times New Roman"/>
                <w:sz w:val="26"/>
                <w:szCs w:val="26"/>
              </w:rPr>
            </w:pPr>
            <w:r w:rsidRPr="002E4313">
              <w:rPr>
                <w:rFonts w:ascii="Times New Roman" w:hAnsi="Times New Roman"/>
                <w:sz w:val="26"/>
                <w:szCs w:val="26"/>
              </w:rPr>
              <w:t>Будівлі метеорологічних станцій, обсерваторій</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3.4</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Пам’ятки історичні та такі, що охороняються державою (пам’ятки історії та архітектури, археологічні розкопки, руїни та історичні місця, що охороняються державою,  меморіали, художньо-декоративні будівлі, статуї)</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bl>
    <w:p w:rsidR="00A40484" w:rsidRPr="00A40484" w:rsidRDefault="00A40484" w:rsidP="00A40484">
      <w:pPr>
        <w:ind w:firstLine="840"/>
        <w:rPr>
          <w:rFonts w:ascii="Times New Roman" w:hAnsi="Times New Roman"/>
          <w:sz w:val="28"/>
          <w:szCs w:val="28"/>
        </w:rPr>
      </w:pPr>
    </w:p>
    <w:p w:rsidR="00A40484" w:rsidRPr="00D82AF6" w:rsidRDefault="00A40484" w:rsidP="00D82AF6">
      <w:pPr>
        <w:ind w:firstLine="567"/>
        <w:jc w:val="both"/>
        <w:rPr>
          <w:rFonts w:ascii="Times New Roman" w:hAnsi="Times New Roman"/>
          <w:color w:val="000000"/>
          <w:sz w:val="24"/>
          <w:szCs w:val="24"/>
        </w:rPr>
      </w:pPr>
      <w:r w:rsidRPr="00A40484">
        <w:rPr>
          <w:rFonts w:ascii="Times New Roman" w:hAnsi="Times New Roman"/>
          <w:b/>
          <w:sz w:val="28"/>
          <w:szCs w:val="28"/>
        </w:rPr>
        <w:t>Примітка 1.</w:t>
      </w:r>
      <w:r w:rsidRPr="00A40484">
        <w:rPr>
          <w:rFonts w:ascii="Times New Roman" w:hAnsi="Times New Roman"/>
          <w:sz w:val="28"/>
          <w:szCs w:val="28"/>
        </w:rPr>
        <w:t xml:space="preserve"> </w:t>
      </w:r>
      <w:r w:rsidRPr="00D82AF6">
        <w:rPr>
          <w:rFonts w:ascii="Times New Roman" w:hAnsi="Times New Roman"/>
          <w:sz w:val="24"/>
          <w:szCs w:val="24"/>
        </w:rPr>
        <w:t>З</w:t>
      </w:r>
      <w:r w:rsidRPr="00D82AF6">
        <w:rPr>
          <w:rFonts w:ascii="Times New Roman" w:hAnsi="Times New Roman"/>
          <w:color w:val="000000"/>
          <w:sz w:val="24"/>
          <w:szCs w:val="24"/>
        </w:rPr>
        <w:t xml:space="preserve">меншення податку, яке зазначено у </w:t>
      </w:r>
      <w:r w:rsidRPr="00D82AF6">
        <w:rPr>
          <w:rFonts w:ascii="Times New Roman" w:hAnsi="Times New Roman"/>
          <w:sz w:val="24"/>
          <w:szCs w:val="24"/>
        </w:rPr>
        <w:t>цьому переліку</w:t>
      </w:r>
      <w:r w:rsidRPr="00D82AF6">
        <w:rPr>
          <w:rFonts w:ascii="Times New Roman" w:hAnsi="Times New Roman"/>
          <w:color w:val="000000"/>
          <w:sz w:val="24"/>
          <w:szCs w:val="24"/>
        </w:rPr>
        <w:t>, надається один раз за кожний базовий (звітний) період (рік)</w:t>
      </w:r>
      <w:r w:rsidR="00D82AF6">
        <w:rPr>
          <w:rFonts w:ascii="Times New Roman" w:hAnsi="Times New Roman"/>
          <w:color w:val="000000"/>
          <w:sz w:val="24"/>
          <w:szCs w:val="24"/>
        </w:rPr>
        <w:t>.</w:t>
      </w:r>
    </w:p>
    <w:p w:rsidR="00A40484" w:rsidRPr="00D82AF6" w:rsidRDefault="00A40484" w:rsidP="00A40484">
      <w:pPr>
        <w:ind w:firstLine="567"/>
        <w:jc w:val="both"/>
        <w:rPr>
          <w:rFonts w:ascii="Times New Roman" w:hAnsi="Times New Roman"/>
          <w:sz w:val="24"/>
          <w:szCs w:val="24"/>
        </w:rPr>
      </w:pPr>
      <w:r w:rsidRPr="00D82AF6">
        <w:rPr>
          <w:rFonts w:ascii="Times New Roman" w:hAnsi="Times New Roman"/>
          <w:b/>
          <w:sz w:val="24"/>
          <w:szCs w:val="24"/>
        </w:rPr>
        <w:t xml:space="preserve">Примітка 2. </w:t>
      </w:r>
      <w:r w:rsidRPr="00D82AF6">
        <w:rPr>
          <w:rFonts w:ascii="Times New Roman" w:hAnsi="Times New Roman"/>
          <w:sz w:val="24"/>
          <w:szCs w:val="24"/>
        </w:rPr>
        <w:t>Пільги, зазначені у цьому переліку, застосовуються для нерухомості, яка не здається в оренду, лізинг, заставу, не використовується у підприємницькій діяльності.</w:t>
      </w:r>
    </w:p>
    <w:p w:rsidR="00A40484" w:rsidRPr="00A40484" w:rsidRDefault="00A40484" w:rsidP="00A40484">
      <w:pPr>
        <w:ind w:firstLine="567"/>
        <w:jc w:val="both"/>
        <w:rPr>
          <w:rFonts w:ascii="Times New Roman" w:hAnsi="Times New Roman"/>
          <w:sz w:val="28"/>
          <w:szCs w:val="28"/>
        </w:rPr>
      </w:pP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bookmarkStart w:id="3" w:name="344"/>
      <w:bookmarkEnd w:id="3"/>
      <w:r w:rsidRPr="00A40484">
        <w:rPr>
          <w:rFonts w:ascii="Times New Roman" w:hAnsi="Times New Roman"/>
          <w:sz w:val="28"/>
          <w:szCs w:val="28"/>
        </w:rPr>
        <w:t xml:space="preserve">Міський  голова                                                                                 </w:t>
      </w:r>
      <w:r w:rsidR="00B9698F">
        <w:rPr>
          <w:rFonts w:ascii="Times New Roman" w:hAnsi="Times New Roman"/>
          <w:sz w:val="28"/>
          <w:szCs w:val="28"/>
        </w:rPr>
        <w:t xml:space="preserve">    </w:t>
      </w:r>
      <w:r w:rsidRPr="00A40484">
        <w:rPr>
          <w:rFonts w:ascii="Times New Roman" w:hAnsi="Times New Roman"/>
          <w:sz w:val="28"/>
          <w:szCs w:val="28"/>
        </w:rPr>
        <w:t>Б. А. Філатов</w:t>
      </w: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p>
    <w:p w:rsidR="00A40484" w:rsidRPr="00A40484" w:rsidRDefault="00A40484" w:rsidP="00F41FD9">
      <w:pPr>
        <w:spacing w:after="0" w:line="240" w:lineRule="auto"/>
        <w:jc w:val="both"/>
        <w:rPr>
          <w:rFonts w:ascii="Times New Roman" w:hAnsi="Times New Roman"/>
          <w:bCs/>
          <w:color w:val="000000"/>
          <w:sz w:val="28"/>
          <w:szCs w:val="28"/>
          <w:lang w:val="uk-UA"/>
        </w:rPr>
      </w:pPr>
    </w:p>
    <w:sectPr w:rsidR="00A40484" w:rsidRPr="00A40484" w:rsidSect="00716A1F">
      <w:headerReference w:type="even"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03" w:rsidRDefault="00D13103" w:rsidP="003B5C44">
      <w:pPr>
        <w:spacing w:after="0" w:line="240" w:lineRule="auto"/>
      </w:pPr>
      <w:r>
        <w:separator/>
      </w:r>
    </w:p>
  </w:endnote>
  <w:endnote w:type="continuationSeparator" w:id="0">
    <w:p w:rsidR="00D13103" w:rsidRDefault="00D13103" w:rsidP="003B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thograp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03" w:rsidRDefault="00D13103" w:rsidP="003B5C44">
      <w:pPr>
        <w:spacing w:after="0" w:line="240" w:lineRule="auto"/>
      </w:pPr>
      <w:r>
        <w:separator/>
      </w:r>
    </w:p>
  </w:footnote>
  <w:footnote w:type="continuationSeparator" w:id="0">
    <w:p w:rsidR="00D13103" w:rsidRDefault="00D13103" w:rsidP="003B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CA" w:rsidRDefault="003B5C44">
    <w:pPr>
      <w:rPr>
        <w:sz w:val="2"/>
        <w:szCs w:val="2"/>
      </w:rPr>
    </w:pPr>
    <w:r>
      <w:rPr>
        <w:noProof/>
        <w:sz w:val="24"/>
        <w:szCs w:val="24"/>
        <w:lang w:val="uk-UA" w:eastAsia="uk-UA"/>
      </w:rPr>
      <mc:AlternateContent>
        <mc:Choice Requires="wps">
          <w:drawing>
            <wp:anchor distT="0" distB="0" distL="63500" distR="63500" simplePos="0" relativeHeight="251661824" behindDoc="1" locked="0" layoutInCell="1" allowOverlap="1" wp14:anchorId="0BA554C8" wp14:editId="60B2360D">
              <wp:simplePos x="0" y="0"/>
              <wp:positionH relativeFrom="page">
                <wp:posOffset>2840355</wp:posOffset>
              </wp:positionH>
              <wp:positionV relativeFrom="page">
                <wp:posOffset>582930</wp:posOffset>
              </wp:positionV>
              <wp:extent cx="2237740" cy="204470"/>
              <wp:effectExtent l="1905" t="1905"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CA" w:rsidRDefault="002A3053">
                          <w:pPr>
                            <w:spacing w:line="240" w:lineRule="auto"/>
                          </w:pPr>
                          <w:r>
                            <w:rPr>
                              <w:rStyle w:val="ac"/>
                              <w:rFonts w:eastAsia="Calibri"/>
                              <w:b w:val="0"/>
                              <w:bCs w:val="0"/>
                            </w:rPr>
                            <w:t>Розділ 5. Система взаємодії.</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554C8" id="_x0000_t202" coordsize="21600,21600" o:spt="202" path="m,l,21600r21600,l21600,xe">
              <v:stroke joinstyle="miter"/>
              <v:path gradientshapeok="t" o:connecttype="rect"/>
            </v:shapetype>
            <v:shape id="Надпись 3" o:spid="_x0000_s1026" type="#_x0000_t202" style="position:absolute;margin-left:223.65pt;margin-top:45.9pt;width:176.2pt;height:16.1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D8xAIAAK0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" filled="f" stroked="f">
              <v:textbox style="mso-fit-shape-to-text:t" inset="0,0,0,0">
                <w:txbxContent>
                  <w:p w:rsidR="00447ECA" w:rsidRDefault="002A3053">
                    <w:pPr>
                      <w:spacing w:line="240" w:lineRule="auto"/>
                    </w:pPr>
                    <w:r>
                      <w:rPr>
                        <w:rStyle w:val="ac"/>
                        <w:rFonts w:eastAsia="Calibri"/>
                        <w:b w:val="0"/>
                        <w:bCs w:val="0"/>
                      </w:rPr>
                      <w:t>Розділ 5. Система взаємодії.</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7F3"/>
    <w:multiLevelType w:val="hybridMultilevel"/>
    <w:tmpl w:val="9202CFA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C475A"/>
    <w:multiLevelType w:val="hybridMultilevel"/>
    <w:tmpl w:val="6E147DB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170B4"/>
    <w:multiLevelType w:val="multilevel"/>
    <w:tmpl w:val="34B429CC"/>
    <w:lvl w:ilvl="0">
      <w:start w:val="1"/>
      <w:numFmt w:val="decimal"/>
      <w:suff w:val="space"/>
      <w:lvlText w:val="%1."/>
      <w:lvlJc w:val="left"/>
      <w:pPr>
        <w:ind w:left="92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FB534D6"/>
    <w:multiLevelType w:val="hybridMultilevel"/>
    <w:tmpl w:val="170A605E"/>
    <w:lvl w:ilvl="0" w:tplc="FE988FC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4855296"/>
    <w:multiLevelType w:val="hybridMultilevel"/>
    <w:tmpl w:val="DD78FBC8"/>
    <w:lvl w:ilvl="0" w:tplc="F0F8E5F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406A1D"/>
    <w:multiLevelType w:val="hybridMultilevel"/>
    <w:tmpl w:val="98348746"/>
    <w:lvl w:ilvl="0" w:tplc="F0EE8B9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75"/>
    <w:rsid w:val="00004649"/>
    <w:rsid w:val="000249CE"/>
    <w:rsid w:val="00026D5C"/>
    <w:rsid w:val="00047119"/>
    <w:rsid w:val="0005210A"/>
    <w:rsid w:val="000525C8"/>
    <w:rsid w:val="0005440D"/>
    <w:rsid w:val="00055C7E"/>
    <w:rsid w:val="000629D4"/>
    <w:rsid w:val="00076FCB"/>
    <w:rsid w:val="00083D59"/>
    <w:rsid w:val="000B235B"/>
    <w:rsid w:val="000C33DB"/>
    <w:rsid w:val="000D069C"/>
    <w:rsid w:val="000D0B8F"/>
    <w:rsid w:val="000F594F"/>
    <w:rsid w:val="00100CD1"/>
    <w:rsid w:val="00103134"/>
    <w:rsid w:val="001362E2"/>
    <w:rsid w:val="00143D43"/>
    <w:rsid w:val="001505A3"/>
    <w:rsid w:val="00164090"/>
    <w:rsid w:val="001756BB"/>
    <w:rsid w:val="001775B3"/>
    <w:rsid w:val="001843EA"/>
    <w:rsid w:val="00190987"/>
    <w:rsid w:val="00193154"/>
    <w:rsid w:val="001B1838"/>
    <w:rsid w:val="001B3C44"/>
    <w:rsid w:val="001D61BE"/>
    <w:rsid w:val="001F0F65"/>
    <w:rsid w:val="0020319B"/>
    <w:rsid w:val="00217D20"/>
    <w:rsid w:val="00227114"/>
    <w:rsid w:val="00233850"/>
    <w:rsid w:val="002339D5"/>
    <w:rsid w:val="0023708A"/>
    <w:rsid w:val="002529FF"/>
    <w:rsid w:val="00281354"/>
    <w:rsid w:val="00284DB8"/>
    <w:rsid w:val="00297532"/>
    <w:rsid w:val="002A3053"/>
    <w:rsid w:val="002A4986"/>
    <w:rsid w:val="002B1561"/>
    <w:rsid w:val="002B63BA"/>
    <w:rsid w:val="002C3CD1"/>
    <w:rsid w:val="002D3029"/>
    <w:rsid w:val="002E4313"/>
    <w:rsid w:val="002F0BF7"/>
    <w:rsid w:val="002F3279"/>
    <w:rsid w:val="00325A77"/>
    <w:rsid w:val="00327BBD"/>
    <w:rsid w:val="00344E4D"/>
    <w:rsid w:val="003526BB"/>
    <w:rsid w:val="00356A71"/>
    <w:rsid w:val="0037035F"/>
    <w:rsid w:val="00382440"/>
    <w:rsid w:val="00386222"/>
    <w:rsid w:val="003952E9"/>
    <w:rsid w:val="003A32A8"/>
    <w:rsid w:val="003A43E4"/>
    <w:rsid w:val="003B5C44"/>
    <w:rsid w:val="003B65B8"/>
    <w:rsid w:val="003B7743"/>
    <w:rsid w:val="003C1B4E"/>
    <w:rsid w:val="003C2798"/>
    <w:rsid w:val="003D6DC6"/>
    <w:rsid w:val="003D6E73"/>
    <w:rsid w:val="003E0BDD"/>
    <w:rsid w:val="003E398C"/>
    <w:rsid w:val="003E4862"/>
    <w:rsid w:val="0041710A"/>
    <w:rsid w:val="00436485"/>
    <w:rsid w:val="00436EA6"/>
    <w:rsid w:val="00443D0E"/>
    <w:rsid w:val="00454AB0"/>
    <w:rsid w:val="004550FF"/>
    <w:rsid w:val="00490E64"/>
    <w:rsid w:val="004B710B"/>
    <w:rsid w:val="004D2FC0"/>
    <w:rsid w:val="004D2FDF"/>
    <w:rsid w:val="004D7CDF"/>
    <w:rsid w:val="004E2B39"/>
    <w:rsid w:val="004F0085"/>
    <w:rsid w:val="004F6B3C"/>
    <w:rsid w:val="00502B84"/>
    <w:rsid w:val="005033CD"/>
    <w:rsid w:val="005051C6"/>
    <w:rsid w:val="0050520E"/>
    <w:rsid w:val="00524575"/>
    <w:rsid w:val="0056020B"/>
    <w:rsid w:val="005743C3"/>
    <w:rsid w:val="005911B7"/>
    <w:rsid w:val="00597D7A"/>
    <w:rsid w:val="005A0E58"/>
    <w:rsid w:val="005A2717"/>
    <w:rsid w:val="005A53E7"/>
    <w:rsid w:val="005A63CD"/>
    <w:rsid w:val="005B026D"/>
    <w:rsid w:val="005B2152"/>
    <w:rsid w:val="005B262B"/>
    <w:rsid w:val="005C1D27"/>
    <w:rsid w:val="005D57AD"/>
    <w:rsid w:val="005E0797"/>
    <w:rsid w:val="005E14DA"/>
    <w:rsid w:val="005E36B4"/>
    <w:rsid w:val="005F4DFA"/>
    <w:rsid w:val="005F5C1A"/>
    <w:rsid w:val="005F71F0"/>
    <w:rsid w:val="0060534B"/>
    <w:rsid w:val="006075AD"/>
    <w:rsid w:val="0061064B"/>
    <w:rsid w:val="00612C1B"/>
    <w:rsid w:val="006357BA"/>
    <w:rsid w:val="00637AC8"/>
    <w:rsid w:val="00652EC5"/>
    <w:rsid w:val="00653B56"/>
    <w:rsid w:val="006569D1"/>
    <w:rsid w:val="0067277D"/>
    <w:rsid w:val="00680FC8"/>
    <w:rsid w:val="00683366"/>
    <w:rsid w:val="00695297"/>
    <w:rsid w:val="006A00BF"/>
    <w:rsid w:val="006C0ACA"/>
    <w:rsid w:val="006C6457"/>
    <w:rsid w:val="006C685E"/>
    <w:rsid w:val="006D5B95"/>
    <w:rsid w:val="006E296F"/>
    <w:rsid w:val="006E73E8"/>
    <w:rsid w:val="006F7292"/>
    <w:rsid w:val="00702708"/>
    <w:rsid w:val="00716A1F"/>
    <w:rsid w:val="00726B1C"/>
    <w:rsid w:val="00736EA2"/>
    <w:rsid w:val="0074384D"/>
    <w:rsid w:val="00766ECB"/>
    <w:rsid w:val="00774F8A"/>
    <w:rsid w:val="00775C91"/>
    <w:rsid w:val="00782D3F"/>
    <w:rsid w:val="0078342C"/>
    <w:rsid w:val="00790993"/>
    <w:rsid w:val="007A45DA"/>
    <w:rsid w:val="007C5950"/>
    <w:rsid w:val="00801339"/>
    <w:rsid w:val="00806BDC"/>
    <w:rsid w:val="00813D8A"/>
    <w:rsid w:val="00824093"/>
    <w:rsid w:val="008439ED"/>
    <w:rsid w:val="008526D9"/>
    <w:rsid w:val="008535AE"/>
    <w:rsid w:val="00866036"/>
    <w:rsid w:val="00875C1F"/>
    <w:rsid w:val="00882118"/>
    <w:rsid w:val="00896223"/>
    <w:rsid w:val="00897812"/>
    <w:rsid w:val="008C1592"/>
    <w:rsid w:val="008D169E"/>
    <w:rsid w:val="008D2408"/>
    <w:rsid w:val="008D3823"/>
    <w:rsid w:val="008E2EFD"/>
    <w:rsid w:val="008E3A31"/>
    <w:rsid w:val="008E7B65"/>
    <w:rsid w:val="009069B5"/>
    <w:rsid w:val="00917CD8"/>
    <w:rsid w:val="009552C2"/>
    <w:rsid w:val="0098024B"/>
    <w:rsid w:val="00994395"/>
    <w:rsid w:val="009970D9"/>
    <w:rsid w:val="009A0C44"/>
    <w:rsid w:val="009A4C81"/>
    <w:rsid w:val="009B0E3F"/>
    <w:rsid w:val="009C0F77"/>
    <w:rsid w:val="009D0997"/>
    <w:rsid w:val="00A055FF"/>
    <w:rsid w:val="00A12F61"/>
    <w:rsid w:val="00A17D17"/>
    <w:rsid w:val="00A22023"/>
    <w:rsid w:val="00A247C9"/>
    <w:rsid w:val="00A30521"/>
    <w:rsid w:val="00A31BF1"/>
    <w:rsid w:val="00A362B6"/>
    <w:rsid w:val="00A40484"/>
    <w:rsid w:val="00A61E39"/>
    <w:rsid w:val="00A80454"/>
    <w:rsid w:val="00A80D5E"/>
    <w:rsid w:val="00A81174"/>
    <w:rsid w:val="00AC21C1"/>
    <w:rsid w:val="00AD1859"/>
    <w:rsid w:val="00AD328D"/>
    <w:rsid w:val="00AF082E"/>
    <w:rsid w:val="00AF163E"/>
    <w:rsid w:val="00AF2EC2"/>
    <w:rsid w:val="00AF2FD0"/>
    <w:rsid w:val="00AF3BFE"/>
    <w:rsid w:val="00B044E9"/>
    <w:rsid w:val="00B20A4F"/>
    <w:rsid w:val="00B24CB5"/>
    <w:rsid w:val="00B30E9B"/>
    <w:rsid w:val="00B35F66"/>
    <w:rsid w:val="00B41C4E"/>
    <w:rsid w:val="00B42DDD"/>
    <w:rsid w:val="00B442A0"/>
    <w:rsid w:val="00B534CD"/>
    <w:rsid w:val="00B61169"/>
    <w:rsid w:val="00B63691"/>
    <w:rsid w:val="00B65E3A"/>
    <w:rsid w:val="00B72190"/>
    <w:rsid w:val="00B759B4"/>
    <w:rsid w:val="00B94B1E"/>
    <w:rsid w:val="00B9661A"/>
    <w:rsid w:val="00B9698F"/>
    <w:rsid w:val="00B97AFA"/>
    <w:rsid w:val="00BA1491"/>
    <w:rsid w:val="00BA31E8"/>
    <w:rsid w:val="00BF43A3"/>
    <w:rsid w:val="00C04337"/>
    <w:rsid w:val="00C111B4"/>
    <w:rsid w:val="00C224B1"/>
    <w:rsid w:val="00C260D1"/>
    <w:rsid w:val="00C30BF8"/>
    <w:rsid w:val="00C30FD0"/>
    <w:rsid w:val="00C553B1"/>
    <w:rsid w:val="00C633F6"/>
    <w:rsid w:val="00C658EB"/>
    <w:rsid w:val="00C74304"/>
    <w:rsid w:val="00C811C8"/>
    <w:rsid w:val="00C8507A"/>
    <w:rsid w:val="00CB1C7E"/>
    <w:rsid w:val="00CB7BD4"/>
    <w:rsid w:val="00CC7ACB"/>
    <w:rsid w:val="00CD2749"/>
    <w:rsid w:val="00CD6135"/>
    <w:rsid w:val="00CE2913"/>
    <w:rsid w:val="00CF18DD"/>
    <w:rsid w:val="00D054D4"/>
    <w:rsid w:val="00D11AE5"/>
    <w:rsid w:val="00D13103"/>
    <w:rsid w:val="00D22BCC"/>
    <w:rsid w:val="00D53A10"/>
    <w:rsid w:val="00D55A36"/>
    <w:rsid w:val="00D82AF6"/>
    <w:rsid w:val="00D86ECD"/>
    <w:rsid w:val="00DA2391"/>
    <w:rsid w:val="00DA4E96"/>
    <w:rsid w:val="00DB54BE"/>
    <w:rsid w:val="00DC2728"/>
    <w:rsid w:val="00DE432A"/>
    <w:rsid w:val="00DF6C49"/>
    <w:rsid w:val="00E03F92"/>
    <w:rsid w:val="00E06360"/>
    <w:rsid w:val="00E111A8"/>
    <w:rsid w:val="00E12831"/>
    <w:rsid w:val="00E1328A"/>
    <w:rsid w:val="00E20EF3"/>
    <w:rsid w:val="00E379AC"/>
    <w:rsid w:val="00E50C6F"/>
    <w:rsid w:val="00E57F26"/>
    <w:rsid w:val="00E71253"/>
    <w:rsid w:val="00E82535"/>
    <w:rsid w:val="00E9153E"/>
    <w:rsid w:val="00EA20AD"/>
    <w:rsid w:val="00EA2E78"/>
    <w:rsid w:val="00EB3C99"/>
    <w:rsid w:val="00EC3B08"/>
    <w:rsid w:val="00EE3C87"/>
    <w:rsid w:val="00EF0AC1"/>
    <w:rsid w:val="00EF3ADC"/>
    <w:rsid w:val="00F27DBC"/>
    <w:rsid w:val="00F41FD9"/>
    <w:rsid w:val="00F42730"/>
    <w:rsid w:val="00F46648"/>
    <w:rsid w:val="00F6088E"/>
    <w:rsid w:val="00F738B9"/>
    <w:rsid w:val="00F77B9F"/>
    <w:rsid w:val="00F901F2"/>
    <w:rsid w:val="00F906C7"/>
    <w:rsid w:val="00FA312D"/>
    <w:rsid w:val="00FB2220"/>
    <w:rsid w:val="00FB3857"/>
    <w:rsid w:val="00FC78DF"/>
    <w:rsid w:val="00FD5F8C"/>
    <w:rsid w:val="00FD6FF7"/>
    <w:rsid w:val="00FE16B8"/>
    <w:rsid w:val="00FE67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BA40C80-302D-45A4-8BA5-4B6FCFB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575"/>
    <w:pPr>
      <w:spacing w:after="200" w:line="276" w:lineRule="auto"/>
    </w:pPr>
    <w:rPr>
      <w:rFonts w:ascii="Calibri" w:eastAsia="Calibri" w:hAnsi="Calibri" w:cs="Times New Roman"/>
      <w:lang w:val="ru-RU"/>
    </w:rPr>
  </w:style>
  <w:style w:type="paragraph" w:styleId="1">
    <w:name w:val="heading 1"/>
    <w:basedOn w:val="a"/>
    <w:link w:val="10"/>
    <w:uiPriority w:val="9"/>
    <w:qFormat/>
    <w:rsid w:val="00652EC5"/>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qFormat/>
    <w:rsid w:val="00A40484"/>
    <w:pPr>
      <w:keepNext/>
      <w:spacing w:after="0" w:line="240" w:lineRule="auto"/>
      <w:jc w:val="center"/>
      <w:outlineLvl w:val="1"/>
    </w:pPr>
    <w:rPr>
      <w:rFonts w:ascii="Lithograph" w:eastAsia="Lithograph" w:hAnsi="Lithograph"/>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575"/>
    <w:rPr>
      <w:rFonts w:ascii="Courier New" w:eastAsia="Times New Roman" w:hAnsi="Courier New" w:cs="Courier New"/>
      <w:sz w:val="20"/>
      <w:szCs w:val="20"/>
      <w:lang w:val="ru-RU" w:eastAsia="ru-RU"/>
    </w:rPr>
  </w:style>
  <w:style w:type="paragraph" w:styleId="a3">
    <w:name w:val="List Paragraph"/>
    <w:basedOn w:val="a"/>
    <w:uiPriority w:val="34"/>
    <w:qFormat/>
    <w:rsid w:val="00524575"/>
    <w:pPr>
      <w:suppressAutoHyphens/>
      <w:ind w:left="720"/>
      <w:contextualSpacing/>
    </w:pPr>
    <w:rPr>
      <w:rFonts w:ascii="Times New Roman" w:eastAsia="Arial Unicode MS" w:hAnsi="Times New Roman" w:cs="Mangal"/>
      <w:kern w:val="2"/>
      <w:sz w:val="24"/>
      <w:szCs w:val="21"/>
      <w:lang w:val="uk-UA" w:eastAsia="hi-IN" w:bidi="hi-IN"/>
    </w:rPr>
  </w:style>
  <w:style w:type="character" w:customStyle="1" w:styleId="apple-converted-space">
    <w:name w:val="apple-converted-space"/>
    <w:basedOn w:val="a0"/>
    <w:rsid w:val="00A055FF"/>
  </w:style>
  <w:style w:type="paragraph" w:styleId="a4">
    <w:name w:val="Normal (Web)"/>
    <w:basedOn w:val="a"/>
    <w:uiPriority w:val="99"/>
    <w:rsid w:val="008E3A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8E3A31"/>
    <w:rPr>
      <w:rFonts w:cs="Times New Roman"/>
      <w:b/>
      <w:bCs/>
    </w:rPr>
  </w:style>
  <w:style w:type="paragraph" w:customStyle="1" w:styleId="a6">
    <w:name w:val="Обычный + По ширине"/>
    <w:aliases w:val="Первая строка:  1,01 см,Перед:  6 пт,После:  6 пт + Авто"/>
    <w:basedOn w:val="a"/>
    <w:uiPriority w:val="99"/>
    <w:rsid w:val="008C1592"/>
    <w:pPr>
      <w:widowControl w:val="0"/>
      <w:autoSpaceDE w:val="0"/>
      <w:autoSpaceDN w:val="0"/>
      <w:adjustRightInd w:val="0"/>
      <w:spacing w:before="120" w:after="120" w:line="240" w:lineRule="auto"/>
      <w:ind w:firstLine="570"/>
      <w:jc w:val="both"/>
    </w:pPr>
    <w:rPr>
      <w:rFonts w:ascii="Times New Roman" w:eastAsia="Times New Roman" w:hAnsi="Times New Roman"/>
      <w:color w:val="0000A0"/>
      <w:sz w:val="24"/>
      <w:szCs w:val="24"/>
      <w:lang w:eastAsia="ru-RU"/>
    </w:rPr>
  </w:style>
  <w:style w:type="character" w:customStyle="1" w:styleId="FontStyle11">
    <w:name w:val="Font Style11"/>
    <w:basedOn w:val="a0"/>
    <w:rsid w:val="008C1592"/>
    <w:rPr>
      <w:rFonts w:ascii="Times New Roman" w:hAnsi="Times New Roman" w:cs="Times New Roman"/>
      <w:sz w:val="26"/>
      <w:szCs w:val="26"/>
    </w:rPr>
  </w:style>
  <w:style w:type="character" w:customStyle="1" w:styleId="FontStyle22">
    <w:name w:val="Font Style22"/>
    <w:basedOn w:val="a0"/>
    <w:rsid w:val="008C1592"/>
    <w:rPr>
      <w:rFonts w:ascii="Times New Roman" w:hAnsi="Times New Roman" w:cs="Times New Roman"/>
      <w:sz w:val="22"/>
      <w:szCs w:val="22"/>
    </w:rPr>
  </w:style>
  <w:style w:type="paragraph" w:styleId="a7">
    <w:name w:val="Body Text"/>
    <w:basedOn w:val="a"/>
    <w:link w:val="a8"/>
    <w:rsid w:val="00774F8A"/>
    <w:pPr>
      <w:spacing w:after="0" w:line="240" w:lineRule="auto"/>
      <w:jc w:val="both"/>
    </w:pPr>
    <w:rPr>
      <w:rFonts w:ascii="Times New Roman" w:eastAsia="Times New Roman" w:hAnsi="Times New Roman"/>
      <w:color w:val="000000"/>
      <w:sz w:val="28"/>
      <w:szCs w:val="20"/>
      <w:lang w:val="uk-UA" w:eastAsia="ru-RU"/>
    </w:rPr>
  </w:style>
  <w:style w:type="character" w:customStyle="1" w:styleId="a8">
    <w:name w:val="Основной текст Знак"/>
    <w:basedOn w:val="a0"/>
    <w:link w:val="a7"/>
    <w:rsid w:val="00774F8A"/>
    <w:rPr>
      <w:rFonts w:ascii="Times New Roman" w:eastAsia="Times New Roman" w:hAnsi="Times New Roman" w:cs="Times New Roman"/>
      <w:color w:val="000000"/>
      <w:sz w:val="28"/>
      <w:szCs w:val="20"/>
      <w:lang w:eastAsia="ru-RU"/>
    </w:rPr>
  </w:style>
  <w:style w:type="paragraph" w:styleId="a9">
    <w:name w:val="Balloon Text"/>
    <w:basedOn w:val="a"/>
    <w:link w:val="aa"/>
    <w:unhideWhenUsed/>
    <w:rsid w:val="007C5950"/>
    <w:pPr>
      <w:spacing w:after="0" w:line="240" w:lineRule="auto"/>
    </w:pPr>
    <w:rPr>
      <w:rFonts w:ascii="Segoe UI" w:hAnsi="Segoe UI" w:cs="Segoe UI"/>
      <w:sz w:val="18"/>
      <w:szCs w:val="18"/>
    </w:rPr>
  </w:style>
  <w:style w:type="character" w:customStyle="1" w:styleId="aa">
    <w:name w:val="Текст выноски Знак"/>
    <w:basedOn w:val="a0"/>
    <w:link w:val="a9"/>
    <w:rsid w:val="007C5950"/>
    <w:rPr>
      <w:rFonts w:ascii="Segoe UI" w:eastAsia="Calibri" w:hAnsi="Segoe UI" w:cs="Segoe UI"/>
      <w:sz w:val="18"/>
      <w:szCs w:val="18"/>
      <w:lang w:val="ru-RU"/>
    </w:rPr>
  </w:style>
  <w:style w:type="character" w:styleId="ab">
    <w:name w:val="Hyperlink"/>
    <w:basedOn w:val="a0"/>
    <w:rsid w:val="003B5C44"/>
    <w:rPr>
      <w:color w:val="0066CC"/>
      <w:u w:val="single"/>
    </w:rPr>
  </w:style>
  <w:style w:type="character" w:customStyle="1" w:styleId="4Exact">
    <w:name w:val="Основной текст (4) Exact"/>
    <w:basedOn w:val="a0"/>
    <w:rsid w:val="003B5C4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3B5C44"/>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3B5C44"/>
    <w:rPr>
      <w:rFonts w:ascii="Times New Roman" w:eastAsia="Times New Roman" w:hAnsi="Times New Roman" w:cs="Times New Roman"/>
      <w:b/>
      <w:bCs/>
      <w:sz w:val="26"/>
      <w:szCs w:val="26"/>
      <w:shd w:val="clear" w:color="auto" w:fill="FFFFFF"/>
    </w:rPr>
  </w:style>
  <w:style w:type="character" w:customStyle="1" w:styleId="3">
    <w:name w:val="Заголовок №3_"/>
    <w:basedOn w:val="a0"/>
    <w:link w:val="30"/>
    <w:rsid w:val="003B5C44"/>
    <w:rPr>
      <w:rFonts w:ascii="Times New Roman" w:eastAsia="Times New Roman" w:hAnsi="Times New Roman" w:cs="Times New Roman"/>
      <w:b/>
      <w:bCs/>
      <w:sz w:val="26"/>
      <w:szCs w:val="26"/>
      <w:shd w:val="clear" w:color="auto" w:fill="FFFFFF"/>
    </w:rPr>
  </w:style>
  <w:style w:type="character" w:customStyle="1" w:styleId="ac">
    <w:name w:val="Колонтитул"/>
    <w:basedOn w:val="a0"/>
    <w:rsid w:val="003B5C4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Candara-2pt">
    <w:name w:val="Основной текст (2) + Candara;Интервал -2 pt"/>
    <w:basedOn w:val="21"/>
    <w:rsid w:val="003B5C44"/>
    <w:rPr>
      <w:rFonts w:ascii="Candara" w:eastAsia="Candara" w:hAnsi="Candara" w:cs="Candara"/>
      <w:color w:val="000000"/>
      <w:spacing w:val="-50"/>
      <w:w w:val="100"/>
      <w:position w:val="0"/>
      <w:sz w:val="26"/>
      <w:szCs w:val="26"/>
      <w:shd w:val="clear" w:color="auto" w:fill="FFFFFF"/>
      <w:lang w:val="uk-UA" w:eastAsia="uk-UA" w:bidi="uk-UA"/>
    </w:rPr>
  </w:style>
  <w:style w:type="paragraph" w:customStyle="1" w:styleId="40">
    <w:name w:val="Основной текст (4)"/>
    <w:basedOn w:val="a"/>
    <w:link w:val="4"/>
    <w:rsid w:val="003B5C44"/>
    <w:pPr>
      <w:widowControl w:val="0"/>
      <w:shd w:val="clear" w:color="auto" w:fill="FFFFFF"/>
      <w:spacing w:before="900" w:after="300" w:line="322" w:lineRule="exact"/>
    </w:pPr>
    <w:rPr>
      <w:rFonts w:ascii="Times New Roman" w:eastAsia="Times New Roman" w:hAnsi="Times New Roman"/>
      <w:b/>
      <w:bCs/>
      <w:sz w:val="26"/>
      <w:szCs w:val="26"/>
      <w:lang w:val="uk-UA"/>
    </w:rPr>
  </w:style>
  <w:style w:type="paragraph" w:customStyle="1" w:styleId="22">
    <w:name w:val="Основной текст (2)"/>
    <w:basedOn w:val="a"/>
    <w:link w:val="21"/>
    <w:rsid w:val="003B5C44"/>
    <w:pPr>
      <w:widowControl w:val="0"/>
      <w:shd w:val="clear" w:color="auto" w:fill="FFFFFF"/>
      <w:spacing w:before="420" w:after="900" w:line="322" w:lineRule="exact"/>
      <w:ind w:hanging="600"/>
    </w:pPr>
    <w:rPr>
      <w:rFonts w:ascii="Times New Roman" w:eastAsia="Times New Roman" w:hAnsi="Times New Roman"/>
      <w:sz w:val="26"/>
      <w:szCs w:val="26"/>
      <w:lang w:val="uk-UA"/>
    </w:rPr>
  </w:style>
  <w:style w:type="paragraph" w:customStyle="1" w:styleId="30">
    <w:name w:val="Заголовок №3"/>
    <w:basedOn w:val="a"/>
    <w:link w:val="3"/>
    <w:rsid w:val="003B5C44"/>
    <w:pPr>
      <w:widowControl w:val="0"/>
      <w:shd w:val="clear" w:color="auto" w:fill="FFFFFF"/>
      <w:spacing w:before="1260" w:after="0" w:line="0" w:lineRule="atLeast"/>
      <w:outlineLvl w:val="2"/>
    </w:pPr>
    <w:rPr>
      <w:rFonts w:ascii="Times New Roman" w:eastAsia="Times New Roman" w:hAnsi="Times New Roman"/>
      <w:b/>
      <w:bCs/>
      <w:sz w:val="26"/>
      <w:szCs w:val="26"/>
      <w:lang w:val="uk-UA"/>
    </w:rPr>
  </w:style>
  <w:style w:type="paragraph" w:styleId="ad">
    <w:name w:val="header"/>
    <w:basedOn w:val="a"/>
    <w:link w:val="ae"/>
    <w:uiPriority w:val="99"/>
    <w:unhideWhenUsed/>
    <w:rsid w:val="003B5C4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3B5C44"/>
    <w:rPr>
      <w:rFonts w:ascii="Calibri" w:eastAsia="Calibri" w:hAnsi="Calibri" w:cs="Times New Roman"/>
      <w:lang w:val="ru-RU"/>
    </w:rPr>
  </w:style>
  <w:style w:type="paragraph" w:styleId="af">
    <w:name w:val="footer"/>
    <w:basedOn w:val="a"/>
    <w:link w:val="af0"/>
    <w:uiPriority w:val="99"/>
    <w:unhideWhenUsed/>
    <w:rsid w:val="003B5C4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B5C44"/>
    <w:rPr>
      <w:rFonts w:ascii="Calibri" w:eastAsia="Calibri" w:hAnsi="Calibri" w:cs="Times New Roman"/>
      <w:lang w:val="ru-RU"/>
    </w:rPr>
  </w:style>
  <w:style w:type="character" w:customStyle="1" w:styleId="10">
    <w:name w:val="Заголовок 1 Знак"/>
    <w:basedOn w:val="a0"/>
    <w:link w:val="1"/>
    <w:uiPriority w:val="9"/>
    <w:rsid w:val="00652EC5"/>
    <w:rPr>
      <w:rFonts w:ascii="Times New Roman" w:eastAsia="Times New Roman" w:hAnsi="Times New Roman" w:cs="Times New Roman"/>
      <w:b/>
      <w:bCs/>
      <w:kern w:val="36"/>
      <w:sz w:val="48"/>
      <w:szCs w:val="48"/>
      <w:lang w:eastAsia="uk-UA"/>
    </w:rPr>
  </w:style>
  <w:style w:type="paragraph" w:customStyle="1" w:styleId="11">
    <w:name w:val="Знак Знак1 Знак Знак Знак"/>
    <w:basedOn w:val="a"/>
    <w:rsid w:val="000D0B8F"/>
    <w:pPr>
      <w:spacing w:after="0" w:line="240" w:lineRule="auto"/>
    </w:pPr>
    <w:rPr>
      <w:rFonts w:ascii="Verdana" w:eastAsia="Times New Roman" w:hAnsi="Verdana" w:cs="Verdana"/>
      <w:sz w:val="20"/>
      <w:szCs w:val="20"/>
      <w:lang w:val="en-US"/>
    </w:rPr>
  </w:style>
  <w:style w:type="paragraph" w:customStyle="1" w:styleId="Standard">
    <w:name w:val="Standard"/>
    <w:rsid w:val="001B1838"/>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ru-RU"/>
    </w:rPr>
  </w:style>
  <w:style w:type="paragraph" w:styleId="af1">
    <w:name w:val="Title"/>
    <w:basedOn w:val="a"/>
    <w:link w:val="af2"/>
    <w:qFormat/>
    <w:rsid w:val="00896223"/>
    <w:pPr>
      <w:spacing w:after="0" w:line="240" w:lineRule="auto"/>
      <w:jc w:val="center"/>
    </w:pPr>
    <w:rPr>
      <w:rFonts w:ascii="Times New Roman" w:eastAsia="Times New Roman" w:hAnsi="Times New Roman"/>
      <w:sz w:val="24"/>
      <w:szCs w:val="20"/>
      <w:lang w:eastAsia="ru-RU"/>
    </w:rPr>
  </w:style>
  <w:style w:type="character" w:customStyle="1" w:styleId="af2">
    <w:name w:val="Заголовок Знак"/>
    <w:basedOn w:val="a0"/>
    <w:link w:val="af1"/>
    <w:rsid w:val="00896223"/>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A40484"/>
    <w:rPr>
      <w:rFonts w:ascii="Lithograph" w:eastAsia="Lithograph" w:hAnsi="Lithograph" w:cs="Times New Roman"/>
      <w:b/>
      <w:sz w:val="28"/>
      <w:szCs w:val="20"/>
      <w:lang w:eastAsia="ru-RU"/>
    </w:rPr>
  </w:style>
  <w:style w:type="paragraph" w:styleId="31">
    <w:name w:val="Body Text 3"/>
    <w:basedOn w:val="a"/>
    <w:link w:val="32"/>
    <w:rsid w:val="00A40484"/>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rsid w:val="00A40484"/>
    <w:rPr>
      <w:rFonts w:ascii="Times New Roman" w:eastAsia="Times New Roman" w:hAnsi="Times New Roman" w:cs="Times New Roman"/>
      <w:sz w:val="16"/>
      <w:szCs w:val="16"/>
      <w:lang w:eastAsia="ru-RU"/>
    </w:rPr>
  </w:style>
  <w:style w:type="paragraph" w:customStyle="1" w:styleId="Default">
    <w:name w:val="Default"/>
    <w:rsid w:val="00A40484"/>
    <w:pPr>
      <w:autoSpaceDE w:val="0"/>
      <w:autoSpaceDN w:val="0"/>
      <w:adjustRightInd w:val="0"/>
      <w:spacing w:after="0" w:line="240" w:lineRule="auto"/>
    </w:pPr>
    <w:rPr>
      <w:rFonts w:ascii="Bookman Old Style" w:eastAsia="Times New Roman" w:hAnsi="Bookman Old Style" w:cs="Bookman Old Style"/>
      <w:color w:val="000000"/>
      <w:sz w:val="24"/>
      <w:szCs w:val="24"/>
      <w:lang w:val="ru-RU" w:eastAsia="ru-RU"/>
    </w:rPr>
  </w:style>
  <w:style w:type="paragraph" w:styleId="af3">
    <w:name w:val="Subtitle"/>
    <w:basedOn w:val="a"/>
    <w:link w:val="af4"/>
    <w:qFormat/>
    <w:rsid w:val="00A40484"/>
    <w:pPr>
      <w:spacing w:after="0" w:line="240" w:lineRule="auto"/>
      <w:jc w:val="center"/>
    </w:pPr>
    <w:rPr>
      <w:rFonts w:ascii="Times New Roman" w:eastAsia="Times New Roman" w:hAnsi="Times New Roman"/>
      <w:b/>
      <w:i/>
      <w:sz w:val="28"/>
      <w:szCs w:val="28"/>
      <w:lang w:val="uk-UA" w:eastAsia="ru-RU"/>
    </w:rPr>
  </w:style>
  <w:style w:type="character" w:customStyle="1" w:styleId="af4">
    <w:name w:val="Подзаголовок Знак"/>
    <w:basedOn w:val="a0"/>
    <w:link w:val="af3"/>
    <w:rsid w:val="00A40484"/>
    <w:rPr>
      <w:rFonts w:ascii="Times New Roman" w:eastAsia="Times New Roman" w:hAnsi="Times New Roman" w:cs="Times New Roman"/>
      <w:b/>
      <w:i/>
      <w:sz w:val="28"/>
      <w:szCs w:val="28"/>
      <w:lang w:eastAsia="ru-RU"/>
    </w:rPr>
  </w:style>
  <w:style w:type="paragraph" w:styleId="af5">
    <w:name w:val="Body Text Indent"/>
    <w:basedOn w:val="a"/>
    <w:link w:val="af6"/>
    <w:rsid w:val="00A40484"/>
    <w:pPr>
      <w:spacing w:after="120" w:line="240" w:lineRule="auto"/>
      <w:ind w:left="283"/>
    </w:pPr>
    <w:rPr>
      <w:rFonts w:ascii="Times New Roman" w:eastAsia="Times New Roman" w:hAnsi="Times New Roman"/>
      <w:sz w:val="20"/>
      <w:szCs w:val="20"/>
      <w:lang w:val="uk-UA" w:eastAsia="ru-RU"/>
    </w:rPr>
  </w:style>
  <w:style w:type="character" w:customStyle="1" w:styleId="af6">
    <w:name w:val="Основной текст с отступом Знак"/>
    <w:basedOn w:val="a0"/>
    <w:link w:val="af5"/>
    <w:rsid w:val="00A40484"/>
    <w:rPr>
      <w:rFonts w:ascii="Times New Roman" w:eastAsia="Times New Roman" w:hAnsi="Times New Roman" w:cs="Times New Roman"/>
      <w:sz w:val="20"/>
      <w:szCs w:val="20"/>
      <w:lang w:eastAsia="ru-RU"/>
    </w:rPr>
  </w:style>
  <w:style w:type="paragraph" w:customStyle="1" w:styleId="12">
    <w:name w:val="Абзац списка1"/>
    <w:basedOn w:val="a"/>
    <w:rsid w:val="00A40484"/>
    <w:pPr>
      <w:ind w:left="720"/>
      <w:contextualSpacing/>
    </w:pPr>
    <w:rPr>
      <w:rFonts w:eastAsia="Times New Roman"/>
      <w:lang w:eastAsia="ru-RU"/>
    </w:rPr>
  </w:style>
  <w:style w:type="paragraph" w:customStyle="1" w:styleId="af7">
    <w:name w:val="Нормальний текст"/>
    <w:basedOn w:val="a"/>
    <w:rsid w:val="00A40484"/>
    <w:pPr>
      <w:spacing w:before="120" w:after="0" w:line="240" w:lineRule="auto"/>
      <w:ind w:firstLine="567"/>
    </w:pPr>
    <w:rPr>
      <w:rFonts w:ascii="Antiqua" w:eastAsia="Times New Roman" w:hAnsi="Antiqua"/>
      <w:sz w:val="26"/>
      <w:szCs w:val="20"/>
      <w:lang w:val="uk-UA" w:eastAsia="ru-RU"/>
    </w:rPr>
  </w:style>
  <w:style w:type="table" w:styleId="af8">
    <w:name w:val="Table Grid"/>
    <w:basedOn w:val="a1"/>
    <w:rsid w:val="00A4048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40484"/>
    <w:pPr>
      <w:spacing w:after="0" w:line="240" w:lineRule="auto"/>
    </w:pPr>
    <w:rPr>
      <w:rFonts w:ascii="Verdana" w:eastAsia="Times New Roman" w:hAnsi="Verdana" w:cs="Verdana"/>
      <w:sz w:val="20"/>
      <w:szCs w:val="20"/>
      <w:lang w:val="en-US"/>
    </w:rPr>
  </w:style>
  <w:style w:type="paragraph" w:customStyle="1" w:styleId="af9">
    <w:name w:val="Назва документа"/>
    <w:basedOn w:val="a"/>
    <w:next w:val="a"/>
    <w:rsid w:val="00A40484"/>
    <w:pPr>
      <w:keepNext/>
      <w:keepLines/>
      <w:spacing w:before="240" w:after="240" w:line="240" w:lineRule="auto"/>
      <w:jc w:val="center"/>
    </w:pPr>
    <w:rPr>
      <w:rFonts w:ascii="Antiqua" w:eastAsia="Times New Roman" w:hAnsi="Antiqua"/>
      <w:b/>
      <w:sz w:val="26"/>
      <w:szCs w:val="20"/>
      <w:lang w:val="uk-UA" w:eastAsia="ru-RU"/>
    </w:rPr>
  </w:style>
  <w:style w:type="character" w:customStyle="1" w:styleId="rvts0">
    <w:name w:val="rvts0"/>
    <w:basedOn w:val="a0"/>
    <w:rsid w:val="00A40484"/>
  </w:style>
  <w:style w:type="paragraph" w:customStyle="1" w:styleId="23">
    <w:name w:val="Абзац списка2"/>
    <w:basedOn w:val="a"/>
    <w:rsid w:val="006C6457"/>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403">
      <w:bodyDiv w:val="1"/>
      <w:marLeft w:val="0"/>
      <w:marRight w:val="0"/>
      <w:marTop w:val="0"/>
      <w:marBottom w:val="0"/>
      <w:divBdr>
        <w:top w:val="none" w:sz="0" w:space="0" w:color="auto"/>
        <w:left w:val="none" w:sz="0" w:space="0" w:color="auto"/>
        <w:bottom w:val="none" w:sz="0" w:space="0" w:color="auto"/>
        <w:right w:val="none" w:sz="0" w:space="0" w:color="auto"/>
      </w:divBdr>
    </w:div>
    <w:div w:id="352457726">
      <w:bodyDiv w:val="1"/>
      <w:marLeft w:val="0"/>
      <w:marRight w:val="0"/>
      <w:marTop w:val="0"/>
      <w:marBottom w:val="0"/>
      <w:divBdr>
        <w:top w:val="none" w:sz="0" w:space="0" w:color="auto"/>
        <w:left w:val="none" w:sz="0" w:space="0" w:color="auto"/>
        <w:bottom w:val="none" w:sz="0" w:space="0" w:color="auto"/>
        <w:right w:val="none" w:sz="0" w:space="0" w:color="auto"/>
      </w:divBdr>
    </w:div>
    <w:div w:id="571888376">
      <w:bodyDiv w:val="1"/>
      <w:marLeft w:val="0"/>
      <w:marRight w:val="0"/>
      <w:marTop w:val="0"/>
      <w:marBottom w:val="0"/>
      <w:divBdr>
        <w:top w:val="none" w:sz="0" w:space="0" w:color="auto"/>
        <w:left w:val="none" w:sz="0" w:space="0" w:color="auto"/>
        <w:bottom w:val="none" w:sz="0" w:space="0" w:color="auto"/>
        <w:right w:val="none" w:sz="0" w:space="0" w:color="auto"/>
      </w:divBdr>
    </w:div>
    <w:div w:id="608510811">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
    <w:div w:id="974136939">
      <w:bodyDiv w:val="1"/>
      <w:marLeft w:val="0"/>
      <w:marRight w:val="0"/>
      <w:marTop w:val="0"/>
      <w:marBottom w:val="0"/>
      <w:divBdr>
        <w:top w:val="none" w:sz="0" w:space="0" w:color="auto"/>
        <w:left w:val="none" w:sz="0" w:space="0" w:color="auto"/>
        <w:bottom w:val="none" w:sz="0" w:space="0" w:color="auto"/>
        <w:right w:val="none" w:sz="0" w:space="0" w:color="auto"/>
      </w:divBdr>
    </w:div>
    <w:div w:id="980622311">
      <w:bodyDiv w:val="1"/>
      <w:marLeft w:val="0"/>
      <w:marRight w:val="0"/>
      <w:marTop w:val="0"/>
      <w:marBottom w:val="0"/>
      <w:divBdr>
        <w:top w:val="none" w:sz="0" w:space="0" w:color="auto"/>
        <w:left w:val="none" w:sz="0" w:space="0" w:color="auto"/>
        <w:bottom w:val="none" w:sz="0" w:space="0" w:color="auto"/>
        <w:right w:val="none" w:sz="0" w:space="0" w:color="auto"/>
      </w:divBdr>
    </w:div>
    <w:div w:id="1093088226">
      <w:bodyDiv w:val="1"/>
      <w:marLeft w:val="0"/>
      <w:marRight w:val="0"/>
      <w:marTop w:val="0"/>
      <w:marBottom w:val="0"/>
      <w:divBdr>
        <w:top w:val="none" w:sz="0" w:space="0" w:color="auto"/>
        <w:left w:val="none" w:sz="0" w:space="0" w:color="auto"/>
        <w:bottom w:val="none" w:sz="0" w:space="0" w:color="auto"/>
        <w:right w:val="none" w:sz="0" w:space="0" w:color="auto"/>
      </w:divBdr>
    </w:div>
    <w:div w:id="1152602832">
      <w:bodyDiv w:val="1"/>
      <w:marLeft w:val="0"/>
      <w:marRight w:val="0"/>
      <w:marTop w:val="0"/>
      <w:marBottom w:val="0"/>
      <w:divBdr>
        <w:top w:val="none" w:sz="0" w:space="0" w:color="auto"/>
        <w:left w:val="none" w:sz="0" w:space="0" w:color="auto"/>
        <w:bottom w:val="none" w:sz="0" w:space="0" w:color="auto"/>
        <w:right w:val="none" w:sz="0" w:space="0" w:color="auto"/>
      </w:divBdr>
      <w:divsChild>
        <w:div w:id="2050106539">
          <w:marLeft w:val="0"/>
          <w:marRight w:val="0"/>
          <w:marTop w:val="0"/>
          <w:marBottom w:val="0"/>
          <w:divBdr>
            <w:top w:val="none" w:sz="0" w:space="0" w:color="auto"/>
            <w:left w:val="none" w:sz="0" w:space="0" w:color="auto"/>
            <w:bottom w:val="none" w:sz="0" w:space="0" w:color="auto"/>
            <w:right w:val="none" w:sz="0" w:space="0" w:color="auto"/>
          </w:divBdr>
        </w:div>
      </w:divsChild>
    </w:div>
    <w:div w:id="1307738008">
      <w:bodyDiv w:val="1"/>
      <w:marLeft w:val="0"/>
      <w:marRight w:val="0"/>
      <w:marTop w:val="0"/>
      <w:marBottom w:val="0"/>
      <w:divBdr>
        <w:top w:val="none" w:sz="0" w:space="0" w:color="auto"/>
        <w:left w:val="none" w:sz="0" w:space="0" w:color="auto"/>
        <w:bottom w:val="none" w:sz="0" w:space="0" w:color="auto"/>
        <w:right w:val="none" w:sz="0" w:space="0" w:color="auto"/>
      </w:divBdr>
    </w:div>
    <w:div w:id="1882356133">
      <w:bodyDiv w:val="1"/>
      <w:marLeft w:val="0"/>
      <w:marRight w:val="0"/>
      <w:marTop w:val="0"/>
      <w:marBottom w:val="0"/>
      <w:divBdr>
        <w:top w:val="none" w:sz="0" w:space="0" w:color="auto"/>
        <w:left w:val="none" w:sz="0" w:space="0" w:color="auto"/>
        <w:bottom w:val="none" w:sz="0" w:space="0" w:color="auto"/>
        <w:right w:val="none" w:sz="0" w:space="0" w:color="auto"/>
      </w:divBdr>
    </w:div>
    <w:div w:id="2049186294">
      <w:bodyDiv w:val="1"/>
      <w:marLeft w:val="0"/>
      <w:marRight w:val="0"/>
      <w:marTop w:val="0"/>
      <w:marBottom w:val="0"/>
      <w:divBdr>
        <w:top w:val="none" w:sz="0" w:space="0" w:color="auto"/>
        <w:left w:val="none" w:sz="0" w:space="0" w:color="auto"/>
        <w:bottom w:val="none" w:sz="0" w:space="0" w:color="auto"/>
        <w:right w:val="none" w:sz="0" w:space="0" w:color="auto"/>
      </w:divBdr>
    </w:div>
    <w:div w:id="20943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D6AB-3AAF-4D20-9F25-39F127EC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14535</Words>
  <Characters>8285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Ольга Володимирівна Мороз</cp:lastModifiedBy>
  <cp:revision>2</cp:revision>
  <cp:lastPrinted>2021-03-17T10:25:00Z</cp:lastPrinted>
  <dcterms:created xsi:type="dcterms:W3CDTF">2021-05-31T08:52:00Z</dcterms:created>
  <dcterms:modified xsi:type="dcterms:W3CDTF">2021-05-31T08:52:00Z</dcterms:modified>
</cp:coreProperties>
</file>