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97" w:rsidRDefault="00343497" w:rsidP="00343497">
      <w:pPr>
        <w:jc w:val="center"/>
        <w:rPr>
          <w:b/>
        </w:rPr>
      </w:pPr>
      <w:r>
        <w:rPr>
          <w:b/>
        </w:rPr>
        <w:t>Звіт про періодичне відстеження результативності</w:t>
      </w:r>
    </w:p>
    <w:p w:rsidR="00343497" w:rsidRDefault="00343497" w:rsidP="00343497">
      <w:pPr>
        <w:jc w:val="center"/>
        <w:rPr>
          <w:b/>
        </w:rPr>
      </w:pPr>
      <w:r>
        <w:rPr>
          <w:b/>
        </w:rPr>
        <w:t>регуляторного акта - рішення міської ради</w:t>
      </w:r>
    </w:p>
    <w:p w:rsidR="00343497" w:rsidRDefault="00343497" w:rsidP="00343497">
      <w:pPr>
        <w:jc w:val="center"/>
        <w:rPr>
          <w:b/>
        </w:rPr>
      </w:pPr>
      <w:r>
        <w:rPr>
          <w:b/>
        </w:rPr>
        <w:t>від 21.03.2007 № 41/11 «Про оренду нерухомого майна, що належить до комунальної власност</w:t>
      </w:r>
      <w:r w:rsidR="00190919">
        <w:rPr>
          <w:b/>
        </w:rPr>
        <w:t>і територіальної громади міста»</w:t>
      </w:r>
    </w:p>
    <w:p w:rsidR="00190919" w:rsidRDefault="00190919" w:rsidP="00190919">
      <w:pPr>
        <w:jc w:val="center"/>
        <w:rPr>
          <w:b/>
        </w:rPr>
      </w:pPr>
      <w:r>
        <w:rPr>
          <w:b/>
        </w:rPr>
        <w:t>(</w:t>
      </w:r>
      <w:r w:rsidR="00343497">
        <w:rPr>
          <w:b/>
        </w:rPr>
        <w:t>з</w:t>
      </w:r>
      <w:r>
        <w:rPr>
          <w:b/>
        </w:rPr>
        <w:t>і змінами)</w:t>
      </w:r>
    </w:p>
    <w:p w:rsidR="006379BE" w:rsidRDefault="006379BE" w:rsidP="00190919">
      <w:pPr>
        <w:jc w:val="center"/>
        <w:rPr>
          <w:b/>
        </w:rPr>
      </w:pPr>
    </w:p>
    <w:p w:rsidR="006379BE" w:rsidRDefault="006379BE" w:rsidP="00190919">
      <w:pPr>
        <w:jc w:val="center"/>
        <w:rPr>
          <w:b/>
        </w:rPr>
      </w:pPr>
    </w:p>
    <w:p w:rsidR="00190919" w:rsidRPr="006379BE" w:rsidRDefault="00343497" w:rsidP="00190919">
      <w:pPr>
        <w:numPr>
          <w:ilvl w:val="0"/>
          <w:numId w:val="7"/>
        </w:numPr>
        <w:ind w:left="0" w:firstLine="851"/>
        <w:jc w:val="both"/>
        <w:rPr>
          <w:b/>
        </w:rPr>
      </w:pPr>
      <w:r w:rsidRPr="00190919">
        <w:rPr>
          <w:b/>
        </w:rPr>
        <w:t xml:space="preserve">Вид та назва регуляторного </w:t>
      </w:r>
      <w:proofErr w:type="spellStart"/>
      <w:r w:rsidRPr="00190919">
        <w:rPr>
          <w:b/>
        </w:rPr>
        <w:t>акта</w:t>
      </w:r>
      <w:proofErr w:type="spellEnd"/>
      <w:r w:rsidR="00190919" w:rsidRPr="00190919">
        <w:rPr>
          <w:b/>
        </w:rPr>
        <w:t xml:space="preserve">, результативність якого відстежується: </w:t>
      </w:r>
      <w:r w:rsidR="00190919" w:rsidRPr="00190919">
        <w:t>р</w:t>
      </w:r>
      <w:r>
        <w:t>ішення міської ради від 21.03.2007 № 41/11 «Про оренду нерухомого майна, що належить до комунальної власності т</w:t>
      </w:r>
      <w:r w:rsidR="00F75C68">
        <w:t xml:space="preserve">ериторіальної громади міста» </w:t>
      </w:r>
      <w:r>
        <w:t>з</w:t>
      </w:r>
      <w:r w:rsidR="00190919">
        <w:t>і</w:t>
      </w:r>
      <w:r>
        <w:t xml:space="preserve"> змін</w:t>
      </w:r>
      <w:r w:rsidR="00F75C68">
        <w:t>ами</w:t>
      </w:r>
      <w:r w:rsidR="00190919">
        <w:t xml:space="preserve">, внесеними </w:t>
      </w:r>
      <w:r>
        <w:t xml:space="preserve">рішенням міської ради від 06.04.2011 </w:t>
      </w:r>
      <w:r w:rsidR="00190919">
        <w:t xml:space="preserve"> </w:t>
      </w:r>
      <w:r w:rsidR="002932B2">
        <w:t xml:space="preserve">            </w:t>
      </w:r>
      <w:r w:rsidR="00190919">
        <w:t xml:space="preserve"> </w:t>
      </w:r>
      <w:r>
        <w:t xml:space="preserve">№ 19/10 «Про внесення змін до рішення міської ради від 21.03.07 № 41/11 «Про оренду нерухомого майна, що належить до комунальної власності </w:t>
      </w:r>
      <w:r w:rsidR="00190919">
        <w:t>територіальної громади міста» (</w:t>
      </w:r>
      <w:r>
        <w:t>з</w:t>
      </w:r>
      <w:r w:rsidR="00190919">
        <w:t>і</w:t>
      </w:r>
      <w:r>
        <w:t xml:space="preserve"> змінами</w:t>
      </w:r>
      <w:r w:rsidR="00190919">
        <w:t>).</w:t>
      </w:r>
    </w:p>
    <w:p w:rsidR="006379BE" w:rsidRPr="00190919" w:rsidRDefault="006379BE" w:rsidP="006379BE">
      <w:pPr>
        <w:ind w:left="851"/>
        <w:jc w:val="both"/>
        <w:rPr>
          <w:b/>
        </w:rPr>
      </w:pPr>
    </w:p>
    <w:p w:rsidR="00343497" w:rsidRDefault="00343497" w:rsidP="00F95981">
      <w:pPr>
        <w:numPr>
          <w:ilvl w:val="0"/>
          <w:numId w:val="7"/>
        </w:numPr>
        <w:ind w:left="0" w:firstLine="851"/>
        <w:jc w:val="both"/>
      </w:pPr>
      <w:r w:rsidRPr="00190919">
        <w:rPr>
          <w:b/>
        </w:rPr>
        <w:t>Виконавець заходів з відстеження</w:t>
      </w:r>
      <w:r w:rsidR="00190919" w:rsidRPr="00190919">
        <w:rPr>
          <w:b/>
        </w:rPr>
        <w:t xml:space="preserve">: </w:t>
      </w:r>
      <w:r w:rsidR="00190919" w:rsidRPr="002932B2">
        <w:t>д</w:t>
      </w:r>
      <w:r>
        <w:t xml:space="preserve">епартамент по роботі з активами Дніпровської </w:t>
      </w:r>
      <w:r w:rsidRPr="00190919">
        <w:rPr>
          <w:color w:val="000000"/>
          <w:spacing w:val="1"/>
        </w:rPr>
        <w:t>міської ради</w:t>
      </w:r>
      <w:r>
        <w:t>.</w:t>
      </w:r>
    </w:p>
    <w:p w:rsidR="006379BE" w:rsidRDefault="00190919" w:rsidP="00343497">
      <w:pPr>
        <w:pStyle w:val="a5"/>
        <w:spacing w:line="300" w:lineRule="exact"/>
        <w:ind w:firstLine="709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343497" w:rsidRDefault="00343497" w:rsidP="00343497">
      <w:pPr>
        <w:pStyle w:val="a5"/>
        <w:spacing w:line="300" w:lineRule="exact"/>
        <w:ind w:firstLine="709"/>
        <w:rPr>
          <w:b/>
          <w:szCs w:val="28"/>
        </w:rPr>
      </w:pPr>
      <w:r>
        <w:rPr>
          <w:b/>
          <w:szCs w:val="28"/>
        </w:rPr>
        <w:t>3. Цілі прийняття рішення</w:t>
      </w:r>
      <w:r w:rsidR="002932B2">
        <w:rPr>
          <w:b/>
          <w:szCs w:val="28"/>
        </w:rPr>
        <w:t>:</w:t>
      </w:r>
    </w:p>
    <w:p w:rsidR="00343497" w:rsidRDefault="00343497" w:rsidP="00343497">
      <w:pPr>
        <w:ind w:firstLine="709"/>
        <w:jc w:val="both"/>
      </w:pPr>
      <w:r>
        <w:t xml:space="preserve">Основними цілями прийняття регуляторного акта є: </w:t>
      </w:r>
    </w:p>
    <w:p w:rsidR="00343497" w:rsidRDefault="00343497" w:rsidP="00343497">
      <w:pPr>
        <w:ind w:firstLine="709"/>
        <w:jc w:val="both"/>
        <w:rPr>
          <w:spacing w:val="1"/>
        </w:rPr>
      </w:pPr>
      <w:r>
        <w:t xml:space="preserve">- нормативне </w:t>
      </w:r>
      <w:r w:rsidR="003A152F">
        <w:t>в</w:t>
      </w:r>
      <w:r>
        <w:t>регулювання  та удосконалення  Порядку  передачі в оренду нерухомого майна, що належить до комунальної власності територіальної громади міста (далі – Порядок);</w:t>
      </w:r>
      <w:r>
        <w:rPr>
          <w:spacing w:val="1"/>
        </w:rPr>
        <w:t xml:space="preserve"> </w:t>
      </w:r>
    </w:p>
    <w:p w:rsidR="00343497" w:rsidRDefault="00343497" w:rsidP="00343497">
      <w:pPr>
        <w:ind w:firstLine="709"/>
        <w:jc w:val="both"/>
      </w:pPr>
      <w:r>
        <w:t xml:space="preserve">- нормативне врегулювання організаційних відносин, пов’язаних з передачею в оренду нерухомого майна, що належить до комунальної власності територіальної громади міста (далі – оренда нерухомого майна); </w:t>
      </w:r>
    </w:p>
    <w:p w:rsidR="00343497" w:rsidRDefault="00343497" w:rsidP="00343497">
      <w:pPr>
        <w:ind w:firstLine="709"/>
        <w:jc w:val="both"/>
      </w:pPr>
      <w:r>
        <w:t>- підвищення ефективності використання нерухомого майна;</w:t>
      </w:r>
    </w:p>
    <w:p w:rsidR="00343497" w:rsidRDefault="00343497" w:rsidP="00343497">
      <w:pPr>
        <w:ind w:firstLine="709"/>
        <w:jc w:val="both"/>
      </w:pPr>
      <w:r>
        <w:t xml:space="preserve">- збільшення надходжень до міського бюджету від оренди нерухомого майна. </w:t>
      </w:r>
    </w:p>
    <w:p w:rsidR="006379BE" w:rsidRDefault="006379BE" w:rsidP="00343497">
      <w:pPr>
        <w:ind w:firstLine="709"/>
        <w:jc w:val="both"/>
      </w:pPr>
    </w:p>
    <w:p w:rsidR="00343497" w:rsidRDefault="00343497" w:rsidP="00343497">
      <w:pPr>
        <w:ind w:firstLine="709"/>
        <w:jc w:val="both"/>
        <w:rPr>
          <w:b/>
        </w:rPr>
      </w:pPr>
      <w:r>
        <w:rPr>
          <w:b/>
        </w:rPr>
        <w:t xml:space="preserve">4. Строк виконання </w:t>
      </w:r>
      <w:r w:rsidR="004B6D1C">
        <w:rPr>
          <w:b/>
        </w:rPr>
        <w:t xml:space="preserve">заходів з </w:t>
      </w:r>
      <w:r>
        <w:rPr>
          <w:b/>
        </w:rPr>
        <w:t>відстеження</w:t>
      </w:r>
    </w:p>
    <w:p w:rsidR="00343497" w:rsidRDefault="0003519A" w:rsidP="00343497">
      <w:pPr>
        <w:ind w:firstLine="709"/>
        <w:jc w:val="both"/>
      </w:pPr>
      <w:r w:rsidRPr="0003519A">
        <w:t>З 11</w:t>
      </w:r>
      <w:r w:rsidR="00343497" w:rsidRPr="0003519A">
        <w:t>.0</w:t>
      </w:r>
      <w:r w:rsidRPr="0003519A">
        <w:t>3</w:t>
      </w:r>
      <w:r w:rsidR="00343497" w:rsidRPr="0003519A">
        <w:t>.20</w:t>
      </w:r>
      <w:r w:rsidRPr="0003519A">
        <w:t>20</w:t>
      </w:r>
      <w:r w:rsidR="00343497" w:rsidRPr="0003519A">
        <w:t xml:space="preserve"> по </w:t>
      </w:r>
      <w:r w:rsidRPr="0003519A">
        <w:t>18</w:t>
      </w:r>
      <w:r w:rsidR="00343497" w:rsidRPr="0003519A">
        <w:t>.</w:t>
      </w:r>
      <w:r w:rsidRPr="0003519A">
        <w:t>03</w:t>
      </w:r>
      <w:r w:rsidR="002932B2" w:rsidRPr="0003519A">
        <w:t>.20</w:t>
      </w:r>
      <w:r w:rsidRPr="0003519A">
        <w:t>20.</w:t>
      </w:r>
    </w:p>
    <w:p w:rsidR="006379BE" w:rsidRDefault="006379BE" w:rsidP="00343497">
      <w:pPr>
        <w:ind w:firstLine="709"/>
        <w:jc w:val="both"/>
      </w:pPr>
    </w:p>
    <w:p w:rsidR="00343497" w:rsidRDefault="00343497" w:rsidP="002932B2">
      <w:pPr>
        <w:ind w:firstLine="709"/>
      </w:pPr>
      <w:r>
        <w:rPr>
          <w:b/>
        </w:rPr>
        <w:t>5. Тип відстеження</w:t>
      </w:r>
      <w:r w:rsidR="002932B2">
        <w:rPr>
          <w:b/>
        </w:rPr>
        <w:t xml:space="preserve">: </w:t>
      </w:r>
      <w:r w:rsidR="002932B2" w:rsidRPr="00F75C68">
        <w:t>п</w:t>
      </w:r>
      <w:r>
        <w:t>еріодичне.</w:t>
      </w:r>
    </w:p>
    <w:p w:rsidR="006379BE" w:rsidRDefault="006379BE" w:rsidP="002932B2">
      <w:pPr>
        <w:ind w:firstLine="709"/>
      </w:pPr>
    </w:p>
    <w:p w:rsidR="002932B2" w:rsidRDefault="00343497" w:rsidP="00343497">
      <w:pPr>
        <w:ind w:firstLine="709"/>
        <w:jc w:val="both"/>
      </w:pPr>
      <w:r>
        <w:rPr>
          <w:b/>
        </w:rPr>
        <w:t xml:space="preserve">6. Методи </w:t>
      </w:r>
      <w:r w:rsidR="004B6D1C">
        <w:rPr>
          <w:b/>
        </w:rPr>
        <w:t>одержання результатів</w:t>
      </w:r>
      <w:r>
        <w:rPr>
          <w:b/>
        </w:rPr>
        <w:t xml:space="preserve"> відстеження</w:t>
      </w:r>
      <w:r w:rsidR="002932B2">
        <w:rPr>
          <w:b/>
        </w:rPr>
        <w:t xml:space="preserve">: </w:t>
      </w:r>
      <w:r w:rsidR="002932B2" w:rsidRPr="002932B2">
        <w:t>с</w:t>
      </w:r>
      <w:r w:rsidR="002932B2">
        <w:t>татистичний.</w:t>
      </w:r>
    </w:p>
    <w:p w:rsidR="006379BE" w:rsidRDefault="006379BE" w:rsidP="00343497">
      <w:pPr>
        <w:ind w:firstLine="709"/>
        <w:jc w:val="both"/>
        <w:rPr>
          <w:b/>
        </w:rPr>
      </w:pPr>
    </w:p>
    <w:p w:rsidR="00343497" w:rsidRDefault="00343497" w:rsidP="00343497">
      <w:pPr>
        <w:ind w:firstLine="709"/>
        <w:jc w:val="both"/>
      </w:pPr>
      <w:r>
        <w:rPr>
          <w:b/>
        </w:rPr>
        <w:t xml:space="preserve">7. Дані та припущення, на основі яких відстежувалась </w:t>
      </w:r>
      <w:proofErr w:type="spellStart"/>
      <w:r>
        <w:rPr>
          <w:b/>
        </w:rPr>
        <w:t>результа</w:t>
      </w:r>
      <w:r w:rsidR="002932B2">
        <w:rPr>
          <w:b/>
        </w:rPr>
        <w:t>-</w:t>
      </w:r>
      <w:r>
        <w:rPr>
          <w:b/>
        </w:rPr>
        <w:t>тивність</w:t>
      </w:r>
      <w:proofErr w:type="spellEnd"/>
      <w:r>
        <w:rPr>
          <w:b/>
        </w:rPr>
        <w:t xml:space="preserve">, а також </w:t>
      </w:r>
      <w:r w:rsidR="002932B2">
        <w:rPr>
          <w:b/>
        </w:rPr>
        <w:t>способи</w:t>
      </w:r>
      <w:r>
        <w:rPr>
          <w:b/>
        </w:rPr>
        <w:t xml:space="preserve"> отримання даних</w:t>
      </w:r>
      <w:r w:rsidR="002932B2">
        <w:rPr>
          <w:b/>
        </w:rPr>
        <w:t xml:space="preserve">: </w:t>
      </w:r>
      <w:r w:rsidR="002932B2" w:rsidRPr="002932B2">
        <w:t>в</w:t>
      </w:r>
      <w:r>
        <w:t xml:space="preserve">ідстеження результативності регуляторного </w:t>
      </w:r>
      <w:proofErr w:type="spellStart"/>
      <w:r>
        <w:t>акта</w:t>
      </w:r>
      <w:proofErr w:type="spellEnd"/>
      <w:r>
        <w:t xml:space="preserve"> здійснено шляхом провед</w:t>
      </w:r>
      <w:r w:rsidR="002932B2">
        <w:t xml:space="preserve">ення аналізу статистичних даних, наданих </w:t>
      </w:r>
      <w:r>
        <w:t>департамент</w:t>
      </w:r>
      <w:r w:rsidR="002932B2">
        <w:t>ом</w:t>
      </w:r>
      <w:r>
        <w:t xml:space="preserve"> по роботі з активами Дніпровської міс</w:t>
      </w:r>
      <w:r w:rsidR="002932B2">
        <w:t>ької ради та департаментом</w:t>
      </w:r>
      <w:r>
        <w:t xml:space="preserve"> економіки, фінансів та міського бюджету Дніпровської міської ради.</w:t>
      </w:r>
    </w:p>
    <w:p w:rsidR="006379BE" w:rsidRDefault="006379BE" w:rsidP="00343497">
      <w:pPr>
        <w:tabs>
          <w:tab w:val="left" w:pos="2310"/>
        </w:tabs>
        <w:ind w:firstLine="709"/>
        <w:jc w:val="both"/>
        <w:rPr>
          <w:b/>
        </w:rPr>
      </w:pPr>
    </w:p>
    <w:p w:rsidR="006379BE" w:rsidRDefault="006379BE" w:rsidP="00343497">
      <w:pPr>
        <w:tabs>
          <w:tab w:val="left" w:pos="2310"/>
        </w:tabs>
        <w:ind w:firstLine="709"/>
        <w:jc w:val="both"/>
        <w:rPr>
          <w:b/>
        </w:rPr>
      </w:pPr>
    </w:p>
    <w:p w:rsidR="00343497" w:rsidRDefault="00343497" w:rsidP="00343497">
      <w:pPr>
        <w:tabs>
          <w:tab w:val="left" w:pos="2310"/>
        </w:tabs>
        <w:ind w:firstLine="709"/>
        <w:jc w:val="both"/>
        <w:rPr>
          <w:b/>
        </w:rPr>
      </w:pPr>
      <w:r>
        <w:rPr>
          <w:b/>
        </w:rPr>
        <w:lastRenderedPageBreak/>
        <w:t>8. Кількісні та якісні показники результативності  регуляторного акта</w:t>
      </w:r>
    </w:p>
    <w:p w:rsidR="00343497" w:rsidRDefault="00343497" w:rsidP="00B77E67">
      <w:pPr>
        <w:tabs>
          <w:tab w:val="left" w:pos="0"/>
        </w:tabs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250"/>
        <w:gridCol w:w="1560"/>
        <w:gridCol w:w="1562"/>
        <w:gridCol w:w="1417"/>
      </w:tblGrid>
      <w:tr w:rsidR="006379BE" w:rsidTr="006379BE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9BE" w:rsidRDefault="006379BE" w:rsidP="006379BE">
            <w:pPr>
              <w:jc w:val="center"/>
            </w:pPr>
            <w:r>
              <w:t>№ з/п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9BE" w:rsidRDefault="006379BE" w:rsidP="006379BE">
            <w:pPr>
              <w:jc w:val="center"/>
            </w:pPr>
            <w:r>
              <w:t>Показники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Default="006379BE" w:rsidP="006379BE">
            <w:pPr>
              <w:jc w:val="center"/>
            </w:pPr>
            <w:r>
              <w:t>Період відстеження</w:t>
            </w:r>
          </w:p>
        </w:tc>
      </w:tr>
      <w:tr w:rsidR="006379BE" w:rsidTr="00A60CB1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Default="006379BE" w:rsidP="006379BE">
            <w:pPr>
              <w:rPr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Default="006379BE" w:rsidP="003A15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Default="006379BE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Default="006379BE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Default="006379BE" w:rsidP="006379BE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</w:tr>
      <w:tr w:rsidR="006379BE" w:rsidTr="006379BE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6379BE" w:rsidRDefault="006379BE">
            <w:pPr>
              <w:rPr>
                <w:b/>
                <w:sz w:val="24"/>
                <w:szCs w:val="24"/>
              </w:rPr>
            </w:pPr>
            <w:r w:rsidRPr="006379BE">
              <w:rPr>
                <w:b/>
                <w:sz w:val="24"/>
                <w:szCs w:val="24"/>
              </w:rPr>
              <w:t>Кількісні:</w:t>
            </w:r>
          </w:p>
        </w:tc>
      </w:tr>
      <w:tr w:rsidR="002932B2" w:rsidTr="00A60CB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B2" w:rsidRPr="006379BE" w:rsidRDefault="006379BE" w:rsidP="006379BE">
            <w:pPr>
              <w:jc w:val="center"/>
            </w:pPr>
            <w:r w:rsidRPr="006379BE"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B2" w:rsidRPr="006379BE" w:rsidRDefault="002932B2" w:rsidP="006379BE">
            <w:pPr>
              <w:jc w:val="both"/>
            </w:pPr>
            <w:r w:rsidRPr="006379BE">
              <w:t>Кількість укладених договорів оренди нерухомог</w:t>
            </w:r>
            <w:r w:rsidR="006379BE" w:rsidRPr="006379BE">
              <w:t>о майна  (у т. ч. за результата</w:t>
            </w:r>
            <w:r w:rsidRPr="006379BE">
              <w:t xml:space="preserve">ми конкурсу), од.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A60CB1" w:rsidRDefault="002932B2">
            <w:pPr>
              <w:jc w:val="center"/>
            </w:pPr>
            <w:r w:rsidRPr="00A60CB1">
              <w:t>463 (</w:t>
            </w:r>
            <w:r w:rsidR="00A60CB1" w:rsidRPr="00A60CB1">
              <w:t>121</w:t>
            </w:r>
            <w:r w:rsidRPr="00A60CB1"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A60CB1" w:rsidRDefault="004044D3">
            <w:pPr>
              <w:jc w:val="center"/>
            </w:pPr>
            <w:r w:rsidRPr="00A60CB1">
              <w:t>639</w:t>
            </w:r>
            <w:r w:rsidR="002932B2" w:rsidRPr="00A60CB1">
              <w:t xml:space="preserve"> (</w:t>
            </w:r>
            <w:r w:rsidR="00A60CB1" w:rsidRPr="00A60CB1">
              <w:t>267</w:t>
            </w:r>
            <w:r w:rsidR="002932B2" w:rsidRPr="00A60CB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A60CB1" w:rsidRDefault="004044D3">
            <w:r w:rsidRPr="00A60CB1">
              <w:t>894</w:t>
            </w:r>
            <w:r w:rsidR="002932B2" w:rsidRPr="00A60CB1">
              <w:t xml:space="preserve"> (</w:t>
            </w:r>
            <w:r w:rsidR="00A60CB1" w:rsidRPr="00A60CB1">
              <w:t>257</w:t>
            </w:r>
            <w:r w:rsidR="002932B2" w:rsidRPr="00A60CB1">
              <w:t>)</w:t>
            </w:r>
          </w:p>
        </w:tc>
      </w:tr>
      <w:tr w:rsidR="002932B2" w:rsidTr="00A60CB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B2" w:rsidRPr="006379BE" w:rsidRDefault="006379BE" w:rsidP="006379BE">
            <w:pPr>
              <w:jc w:val="center"/>
            </w:pPr>
            <w:r w:rsidRPr="006379BE"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B2" w:rsidRPr="006379BE" w:rsidRDefault="002932B2" w:rsidP="006379BE">
            <w:pPr>
              <w:jc w:val="both"/>
            </w:pPr>
            <w:r w:rsidRPr="006379BE">
              <w:t xml:space="preserve">Сума надходжень коштів від орендної плати до міського бюджету, </w:t>
            </w:r>
            <w:proofErr w:type="spellStart"/>
            <w:r w:rsidR="004044D3">
              <w:t>тис.</w:t>
            </w:r>
            <w:r w:rsidRPr="006379BE">
              <w:t>грн</w:t>
            </w:r>
            <w:proofErr w:type="spellEnd"/>
            <w:r w:rsidRPr="006379BE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4044D3">
            <w:pPr>
              <w:jc w:val="center"/>
            </w:pPr>
            <w:r>
              <w:t>20842,90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6379BE">
            <w:pPr>
              <w:jc w:val="center"/>
            </w:pPr>
            <w:r>
              <w:t>25849,8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6379BE">
            <w:pPr>
              <w:jc w:val="center"/>
            </w:pPr>
            <w:r>
              <w:t>31882,2</w:t>
            </w:r>
            <w:r w:rsidR="002932B2" w:rsidRPr="006379BE">
              <w:t xml:space="preserve"> </w:t>
            </w:r>
          </w:p>
        </w:tc>
      </w:tr>
      <w:tr w:rsidR="002932B2" w:rsidTr="00A60CB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B2" w:rsidRPr="006379BE" w:rsidRDefault="006379BE" w:rsidP="006379BE">
            <w:pPr>
              <w:jc w:val="center"/>
            </w:pPr>
            <w: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B2" w:rsidRPr="006379BE" w:rsidRDefault="002932B2">
            <w:r w:rsidRPr="006379BE">
              <w:t xml:space="preserve">Загальний розмір площ, наданих в оренду, </w:t>
            </w:r>
            <w:proofErr w:type="spellStart"/>
            <w:r w:rsidRPr="006379BE">
              <w:t>кв</w:t>
            </w:r>
            <w:proofErr w:type="spellEnd"/>
            <w:r w:rsidRPr="006379BE">
              <w:t xml:space="preserve">.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6379BE">
            <w:pPr>
              <w:jc w:val="center"/>
            </w:pPr>
            <w:r>
              <w:t>92777,35</w:t>
            </w:r>
            <w:r w:rsidR="002932B2" w:rsidRPr="006379BE"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6379BE">
            <w:pPr>
              <w:jc w:val="center"/>
            </w:pPr>
            <w:r>
              <w:t>121557,52</w:t>
            </w:r>
            <w:r w:rsidR="002932B2" w:rsidRPr="006379B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B2" w:rsidRPr="006379BE" w:rsidRDefault="004044D3" w:rsidP="006379BE">
            <w:pPr>
              <w:jc w:val="center"/>
            </w:pPr>
            <w:r>
              <w:t>178130,13</w:t>
            </w:r>
            <w:r w:rsidR="002932B2" w:rsidRPr="006379BE">
              <w:t xml:space="preserve"> </w:t>
            </w:r>
          </w:p>
        </w:tc>
      </w:tr>
      <w:tr w:rsidR="006379BE" w:rsidTr="00E977F3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6379BE" w:rsidRDefault="006379BE" w:rsidP="006379BE">
            <w:pPr>
              <w:rPr>
                <w:b/>
                <w:sz w:val="24"/>
                <w:szCs w:val="24"/>
              </w:rPr>
            </w:pPr>
            <w:r w:rsidRPr="006379BE">
              <w:rPr>
                <w:b/>
                <w:sz w:val="24"/>
                <w:szCs w:val="24"/>
              </w:rPr>
              <w:t>Якісні:</w:t>
            </w:r>
          </w:p>
        </w:tc>
      </w:tr>
      <w:tr w:rsidR="006379BE" w:rsidTr="00A60CB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Default="006379BE" w:rsidP="006379BE">
            <w:pPr>
              <w:jc w:val="center"/>
            </w:pPr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BE" w:rsidRDefault="006379BE" w:rsidP="006379BE">
            <w:pPr>
              <w:tabs>
                <w:tab w:val="left" w:pos="0"/>
              </w:tabs>
              <w:spacing w:line="256" w:lineRule="auto"/>
              <w:jc w:val="both"/>
            </w:pPr>
            <w:r>
              <w:t xml:space="preserve">Рівень </w:t>
            </w:r>
            <w:r w:rsidR="00DB1734">
              <w:t>по</w:t>
            </w:r>
            <w:r>
              <w:t xml:space="preserve">інформованості </w:t>
            </w:r>
            <w:proofErr w:type="spellStart"/>
            <w:r>
              <w:t>суб’єк</w:t>
            </w:r>
            <w:r w:rsidR="00DB1734">
              <w:t>-</w:t>
            </w:r>
            <w:r>
              <w:t>тів</w:t>
            </w:r>
            <w:proofErr w:type="spellEnd"/>
            <w:r>
              <w:t xml:space="preserve"> господарювання щодо основ</w:t>
            </w:r>
            <w:r w:rsidR="00DB1734">
              <w:t>-</w:t>
            </w:r>
            <w:r>
              <w:t xml:space="preserve">них положень регуляторного </w:t>
            </w:r>
            <w:proofErr w:type="spellStart"/>
            <w:r>
              <w:t>акта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Default="006379BE" w:rsidP="006379BE">
            <w:pPr>
              <w:spacing w:line="256" w:lineRule="auto"/>
              <w:jc w:val="center"/>
              <w:textAlignment w:val="top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Default="006379BE" w:rsidP="006379BE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>
              <w:rPr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Default="006379BE" w:rsidP="006379BE">
            <w:pPr>
              <w:spacing w:line="256" w:lineRule="auto"/>
              <w:jc w:val="center"/>
              <w:textAlignment w:val="top"/>
              <w:rPr>
                <w:bdr w:val="none" w:sz="0" w:space="0" w:color="auto" w:frame="1"/>
                <w:lang w:eastAsia="uk-UA"/>
              </w:rPr>
            </w:pPr>
            <w:r>
              <w:rPr>
                <w:bdr w:val="none" w:sz="0" w:space="0" w:color="auto" w:frame="1"/>
                <w:lang w:eastAsia="uk-UA"/>
              </w:rPr>
              <w:t>4</w:t>
            </w:r>
          </w:p>
        </w:tc>
      </w:tr>
    </w:tbl>
    <w:p w:rsidR="006379BE" w:rsidRPr="006379BE" w:rsidRDefault="006379BE" w:rsidP="00343497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379BE" w:rsidRPr="00DB1734" w:rsidRDefault="006379BE" w:rsidP="006379BE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 w:rsidRPr="00DB1734">
        <w:rPr>
          <w:i/>
          <w:sz w:val="20"/>
          <w:szCs w:val="20"/>
        </w:rPr>
        <w:t xml:space="preserve">*Оцінку здійснено за 4-бальною системою, з яких 4 ̶ 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 </w:t>
      </w:r>
    </w:p>
    <w:p w:rsidR="00F75C68" w:rsidRDefault="00F75C68" w:rsidP="00D711F5">
      <w:pPr>
        <w:tabs>
          <w:tab w:val="num" w:pos="1134"/>
        </w:tabs>
        <w:ind w:firstLine="720"/>
        <w:jc w:val="both"/>
      </w:pPr>
    </w:p>
    <w:p w:rsidR="00D711F5" w:rsidRDefault="00D711F5" w:rsidP="00D711F5">
      <w:pPr>
        <w:tabs>
          <w:tab w:val="num" w:pos="1134"/>
        </w:tabs>
        <w:ind w:firstLine="720"/>
        <w:jc w:val="both"/>
      </w:pPr>
      <w:r>
        <w:t xml:space="preserve">Рівень поінформованості суб’єктів господарювання з основних положень регуляторного </w:t>
      </w:r>
      <w:proofErr w:type="spellStart"/>
      <w:r>
        <w:t>акта</w:t>
      </w:r>
      <w:proofErr w:type="spellEnd"/>
      <w:r>
        <w:t xml:space="preserve"> досягнуто шляхом його оприлюднення на офіційному </w:t>
      </w:r>
      <w:proofErr w:type="spellStart"/>
      <w:r>
        <w:t>вебсайті</w:t>
      </w:r>
      <w:proofErr w:type="spellEnd"/>
      <w:r>
        <w:t xml:space="preserve"> Дніпровської міської ради (dniрrorada.gov.ua), меню «Регуляторна політика», розділ «Послуги для мешканця», підрозділ «Оренда нерухомого майна комунальної власності» та проведення працівниками департаменту консультативно-роз’яснювальної роботи. </w:t>
      </w:r>
    </w:p>
    <w:p w:rsidR="006379BE" w:rsidRDefault="006379BE" w:rsidP="00343497">
      <w:pPr>
        <w:tabs>
          <w:tab w:val="left" w:pos="0"/>
        </w:tabs>
        <w:ind w:firstLine="709"/>
        <w:jc w:val="both"/>
      </w:pPr>
    </w:p>
    <w:p w:rsidR="00343497" w:rsidRDefault="00343497" w:rsidP="00343497">
      <w:pPr>
        <w:tabs>
          <w:tab w:val="left" w:pos="0"/>
        </w:tabs>
        <w:ind w:firstLine="709"/>
        <w:jc w:val="both"/>
      </w:pPr>
      <w:r>
        <w:t xml:space="preserve">За результатами аналізу </w:t>
      </w:r>
      <w:r w:rsidR="00B0267B">
        <w:t xml:space="preserve">динаміки </w:t>
      </w:r>
      <w:r>
        <w:t xml:space="preserve">кількісних показників спостерігається їх </w:t>
      </w:r>
      <w:r w:rsidR="004442AD">
        <w:t>щорічне зростання</w:t>
      </w:r>
      <w:r>
        <w:t>.</w:t>
      </w:r>
    </w:p>
    <w:p w:rsidR="00B0267B" w:rsidRDefault="004442AD" w:rsidP="00343497">
      <w:pPr>
        <w:tabs>
          <w:tab w:val="left" w:pos="0"/>
        </w:tabs>
        <w:ind w:firstLine="709"/>
        <w:jc w:val="both"/>
      </w:pPr>
      <w:r w:rsidRPr="00051D56">
        <w:t>З</w:t>
      </w:r>
      <w:r w:rsidR="00343497" w:rsidRPr="00051D56">
        <w:t xml:space="preserve"> 201</w:t>
      </w:r>
      <w:r w:rsidR="006379BE" w:rsidRPr="00051D56">
        <w:t>7</w:t>
      </w:r>
      <w:r w:rsidR="00343497" w:rsidRPr="00051D56">
        <w:t xml:space="preserve"> </w:t>
      </w:r>
      <w:r w:rsidRPr="00051D56">
        <w:t>по</w:t>
      </w:r>
      <w:r w:rsidR="00343497" w:rsidRPr="00051D56">
        <w:t xml:space="preserve"> 201</w:t>
      </w:r>
      <w:r w:rsidR="006379BE" w:rsidRPr="00051D56">
        <w:t>9</w:t>
      </w:r>
      <w:r w:rsidR="00343497" w:rsidRPr="00051D56">
        <w:t xml:space="preserve"> р</w:t>
      </w:r>
      <w:r w:rsidRPr="00051D56">
        <w:t>ік</w:t>
      </w:r>
      <w:r w:rsidR="00343497" w:rsidRPr="00051D56">
        <w:t xml:space="preserve"> відмічається </w:t>
      </w:r>
      <w:r w:rsidR="00B0267B" w:rsidRPr="00051D56">
        <w:t xml:space="preserve">збільшення </w:t>
      </w:r>
      <w:r w:rsidRPr="00051D56">
        <w:t>розміру наданої площі в оренду, що дає вплив на інші показники. Завдяки цьому відбувається зростання надходження коштів від орендної плати до міського бюджету</w:t>
      </w:r>
      <w:r w:rsidR="0069302D" w:rsidRPr="00051D56">
        <w:t xml:space="preserve"> </w:t>
      </w:r>
      <w:r w:rsidRPr="00051D56">
        <w:t xml:space="preserve">та </w:t>
      </w:r>
      <w:r w:rsidR="00D81C77" w:rsidRPr="00051D56">
        <w:t>кількості підписаних договорів</w:t>
      </w:r>
      <w:r w:rsidRPr="00051D56">
        <w:t>.</w:t>
      </w:r>
    </w:p>
    <w:p w:rsidR="007D0AC1" w:rsidRDefault="00051D56" w:rsidP="00343497">
      <w:pPr>
        <w:tabs>
          <w:tab w:val="left" w:pos="0"/>
        </w:tabs>
        <w:ind w:firstLine="709"/>
        <w:jc w:val="both"/>
      </w:pPr>
      <w:r>
        <w:t>Не дивлячись на зменшення річного індексу інфляції</w:t>
      </w:r>
      <w:r w:rsidR="007D0AC1">
        <w:t>,</w:t>
      </w:r>
      <w:r>
        <w:t xml:space="preserve"> </w:t>
      </w:r>
      <w:r w:rsidR="007D0AC1">
        <w:t xml:space="preserve">який впливає на суму орендної плати </w:t>
      </w:r>
      <w:r>
        <w:t>(2017 – 113.7%, 2018 – 109.8%, 2019 – 104.1%) надходження з орендної плати збільшується щороку</w:t>
      </w:r>
      <w:r w:rsidRPr="00051D56">
        <w:t xml:space="preserve">: </w:t>
      </w:r>
    </w:p>
    <w:p w:rsidR="007D0AC1" w:rsidRDefault="007D0AC1" w:rsidP="00343497">
      <w:pPr>
        <w:tabs>
          <w:tab w:val="left" w:pos="0"/>
        </w:tabs>
        <w:ind w:firstLine="709"/>
        <w:jc w:val="both"/>
      </w:pPr>
      <w:r>
        <w:t xml:space="preserve">у </w:t>
      </w:r>
      <w:r w:rsidR="00051D56" w:rsidRPr="00051D56">
        <w:t>2018 р</w:t>
      </w:r>
      <w:r>
        <w:t>оці надходження зросли</w:t>
      </w:r>
      <w:r w:rsidR="00051D56">
        <w:t xml:space="preserve"> відносно 2017 року на </w:t>
      </w:r>
      <w:r>
        <w:t>24%;</w:t>
      </w:r>
    </w:p>
    <w:p w:rsidR="007D0AC1" w:rsidRDefault="007D0AC1" w:rsidP="00343497">
      <w:pPr>
        <w:tabs>
          <w:tab w:val="left" w:pos="0"/>
        </w:tabs>
        <w:ind w:firstLine="709"/>
        <w:jc w:val="both"/>
      </w:pPr>
      <w:r>
        <w:t xml:space="preserve">у </w:t>
      </w:r>
      <w:r w:rsidRPr="00051D56">
        <w:t>201</w:t>
      </w:r>
      <w:r>
        <w:t>9</w:t>
      </w:r>
      <w:r w:rsidRPr="00051D56">
        <w:t xml:space="preserve"> р</w:t>
      </w:r>
      <w:r>
        <w:t>оці надходження зросли відносно 2018 року на 23%.</w:t>
      </w:r>
    </w:p>
    <w:p w:rsidR="00051D56" w:rsidRPr="00051D56" w:rsidRDefault="007D0AC1" w:rsidP="00343497">
      <w:pPr>
        <w:tabs>
          <w:tab w:val="left" w:pos="0"/>
        </w:tabs>
        <w:ind w:firstLine="709"/>
        <w:jc w:val="both"/>
      </w:pPr>
      <w:r>
        <w:t xml:space="preserve">З вищезазначеного ми бачимо, що завдяки підвищенню вартості 1 </w:t>
      </w:r>
      <w:proofErr w:type="spellStart"/>
      <w:r>
        <w:t>кв.м</w:t>
      </w:r>
      <w:proofErr w:type="spellEnd"/>
      <w:r>
        <w:t xml:space="preserve"> комунального майна</w:t>
      </w:r>
      <w:r w:rsidR="00C8412C">
        <w:t xml:space="preserve"> </w:t>
      </w:r>
      <w:proofErr w:type="spellStart"/>
      <w:r w:rsidR="00C8412C">
        <w:t>нівілюється</w:t>
      </w:r>
      <w:proofErr w:type="spellEnd"/>
      <w:r w:rsidR="00C8412C">
        <w:t xml:space="preserve"> вплив індексу інфляції на суму надходжень.</w:t>
      </w:r>
    </w:p>
    <w:p w:rsidR="00C8412C" w:rsidRPr="000139F2" w:rsidRDefault="00C8412C" w:rsidP="00343497">
      <w:pPr>
        <w:tabs>
          <w:tab w:val="left" w:pos="0"/>
        </w:tabs>
        <w:ind w:firstLine="709"/>
        <w:jc w:val="both"/>
      </w:pPr>
      <w:r w:rsidRPr="000139F2">
        <w:t>У 2018 році відбувається суттєвий стрибок у підписанні договорів за результатами конкурсу</w:t>
      </w:r>
      <w:r w:rsidR="000418EC">
        <w:t xml:space="preserve"> (підписання договорів з новими орендарями)</w:t>
      </w:r>
      <w:r w:rsidR="000139F2" w:rsidRPr="000139F2">
        <w:t>, це означає, що нерухоме комунальне майно з кожним роком становиться ще доступнішим для суб`єктів господарювання.</w:t>
      </w:r>
    </w:p>
    <w:p w:rsidR="00343497" w:rsidRDefault="00343497" w:rsidP="00343497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9. Оцінка результатів реалізації регуляторного акта та ступеня досягнення визначених цілей</w:t>
      </w:r>
    </w:p>
    <w:p w:rsidR="00343497" w:rsidRDefault="00343497" w:rsidP="0034349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впровадження та реалізації положень регуляторного акта отримано певні позитивні соціально-економічні наслідки:</w:t>
      </w:r>
    </w:p>
    <w:p w:rsidR="00343497" w:rsidRDefault="00343497" w:rsidP="0034349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забезпечено ефективність і збалансованість у сфері врегулювання правовідносин з використання комунального нерухомого майна;</w:t>
      </w:r>
    </w:p>
    <w:p w:rsidR="007F1DC4" w:rsidRDefault="00343497" w:rsidP="0034349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вдосконалено порядок передачі в оренду нерухомого майна, що належить до комунальної власності територіальної громади міста</w:t>
      </w:r>
      <w:r w:rsidR="007F1DC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03519A" w:rsidRPr="00832652" w:rsidRDefault="00343497" w:rsidP="0083265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збільшено надходження коштів до міського бюджету від оренди комунального нерухомого майна.</w:t>
      </w:r>
      <w:r w:rsidR="0003519A">
        <w:rPr>
          <w:sz w:val="28"/>
          <w:szCs w:val="28"/>
        </w:rPr>
        <w:t xml:space="preserve"> </w:t>
      </w:r>
    </w:p>
    <w:p w:rsidR="00524C2F" w:rsidRDefault="0042366C" w:rsidP="0003519A">
      <w:pPr>
        <w:ind w:firstLine="709"/>
        <w:jc w:val="both"/>
      </w:pPr>
      <w:r w:rsidRPr="0042366C">
        <w:t>Водночас,</w:t>
      </w:r>
      <w:r>
        <w:t xml:space="preserve"> у</w:t>
      </w:r>
      <w:r w:rsidR="00853C6D" w:rsidRPr="00853C6D">
        <w:t>складнена процедура передачі в оренду об’єктів кому</w:t>
      </w:r>
      <w:r w:rsidR="00853C6D">
        <w:t xml:space="preserve">нальної власності </w:t>
      </w:r>
      <w:r w:rsidR="00853C6D" w:rsidRPr="00853C6D">
        <w:t xml:space="preserve">та тривалий термін її проведення негативно впливають на конкурентоспроможність комунального майна в порівнянні з аналогічним майном приватної форми власності. </w:t>
      </w:r>
      <w:r w:rsidR="00853C6D" w:rsidRPr="00524C2F">
        <w:t xml:space="preserve">Як наслідок місцевий бюджет, </w:t>
      </w:r>
      <w:proofErr w:type="spellStart"/>
      <w:r w:rsidR="00853C6D" w:rsidRPr="00524C2F">
        <w:t>недоотримує</w:t>
      </w:r>
      <w:proofErr w:type="spellEnd"/>
      <w:r w:rsidR="00853C6D" w:rsidRPr="00524C2F">
        <w:t xml:space="preserve"> доходи від передачі в оренду комунального майна. </w:t>
      </w:r>
    </w:p>
    <w:p w:rsidR="00524C2F" w:rsidRDefault="00524C2F" w:rsidP="0003519A">
      <w:pPr>
        <w:ind w:firstLine="709"/>
        <w:jc w:val="both"/>
      </w:pPr>
      <w:r>
        <w:t>На сьогоднішній час необхідно с</w:t>
      </w:r>
      <w:r w:rsidRPr="00524C2F">
        <w:t xml:space="preserve">уттєве удосконалення, спрощення і скорочення процедур оренди комунального майна для досягнення прозорості та відкритості процесу передачі в оренду </w:t>
      </w:r>
      <w:r>
        <w:t>нерухомого</w:t>
      </w:r>
      <w:r w:rsidRPr="00524C2F">
        <w:t xml:space="preserve"> майна, залучення широкого кола інвесторів до оренди комунального майна. </w:t>
      </w:r>
    </w:p>
    <w:p w:rsidR="00853C6D" w:rsidRPr="0042366C" w:rsidRDefault="00853C6D" w:rsidP="0003519A">
      <w:pPr>
        <w:ind w:firstLine="709"/>
        <w:jc w:val="both"/>
      </w:pPr>
      <w:r w:rsidRPr="00524C2F">
        <w:t>Вирішення зазначеної проблеми потребує</w:t>
      </w:r>
      <w:r w:rsidRPr="00853C6D">
        <w:t xml:space="preserve"> відповідної адаптації законодавства, яке регулює питання оренди комунального майна, в тому числі </w:t>
      </w:r>
      <w:r w:rsidRPr="0042366C">
        <w:t>прийняття нового регуляторного акту «Про оренду нерухомого майна, що належить до комунальної власності територіальної громади міста».</w:t>
      </w:r>
    </w:p>
    <w:p w:rsidR="00832652" w:rsidRPr="0042366C" w:rsidRDefault="0042366C" w:rsidP="00832652">
      <w:pPr>
        <w:ind w:firstLine="709"/>
        <w:jc w:val="both"/>
      </w:pPr>
      <w:r>
        <w:t>У</w:t>
      </w:r>
      <w:r w:rsidR="00832652" w:rsidRPr="0042366C">
        <w:t xml:space="preserve"> зв’язку зі змінами у законодавстві, введення з 01.02.20</w:t>
      </w:r>
      <w:r w:rsidR="00F75C68" w:rsidRPr="00F75C68">
        <w:rPr>
          <w:lang w:val="ru-RU"/>
        </w:rPr>
        <w:t>20</w:t>
      </w:r>
      <w:r w:rsidR="00832652" w:rsidRPr="0042366C">
        <w:t xml:space="preserve"> в силу нового Закону України «Про оренду державного та комунального майна»</w:t>
      </w:r>
      <w:r w:rsidR="00F75C68">
        <w:t>,</w:t>
      </w:r>
      <w:r w:rsidR="00F75C68" w:rsidRPr="00F75C68">
        <w:rPr>
          <w:lang w:val="ru-RU"/>
        </w:rPr>
        <w:t xml:space="preserve"> </w:t>
      </w:r>
      <w:proofErr w:type="spellStart"/>
      <w:r w:rsidR="00F75C68" w:rsidRPr="00F75C68">
        <w:rPr>
          <w:lang w:val="ru-RU"/>
        </w:rPr>
        <w:t>виникла</w:t>
      </w:r>
      <w:proofErr w:type="spellEnd"/>
      <w:r w:rsidR="00F75C68" w:rsidRPr="00F75C68">
        <w:rPr>
          <w:lang w:val="ru-RU"/>
        </w:rPr>
        <w:t xml:space="preserve"> </w:t>
      </w:r>
      <w:proofErr w:type="spellStart"/>
      <w:r w:rsidR="00F75C68" w:rsidRPr="00F75C68">
        <w:rPr>
          <w:lang w:val="ru-RU"/>
        </w:rPr>
        <w:t>необхідність</w:t>
      </w:r>
      <w:proofErr w:type="spellEnd"/>
      <w:r w:rsidR="00832652" w:rsidRPr="0042366C">
        <w:t xml:space="preserve"> розробки нової редакції Порядку передачі в оренду нерухомого майна територіальної громади міста Дніпра, </w:t>
      </w:r>
      <w:r w:rsidR="00F75C68">
        <w:t xml:space="preserve">тому пропонуємо </w:t>
      </w:r>
      <w:r w:rsidR="00832652" w:rsidRPr="0042366C">
        <w:t>рішення міської ради від 21.03.2007 № 41/11 «Про оренду нерухомого майна, що належить до комунальної власності територіальної громади міста» (зі змінами) визнати таким, що втрати</w:t>
      </w:r>
      <w:r w:rsidR="00F75C68">
        <w:t>ло</w:t>
      </w:r>
      <w:r w:rsidR="00832652" w:rsidRPr="0042366C">
        <w:t xml:space="preserve"> чинність, у встановленому порядку.</w:t>
      </w:r>
    </w:p>
    <w:p w:rsidR="000A24ED" w:rsidRDefault="000A24ED" w:rsidP="00343497">
      <w:pPr>
        <w:tabs>
          <w:tab w:val="left" w:pos="1140"/>
        </w:tabs>
      </w:pPr>
    </w:p>
    <w:p w:rsidR="008D7615" w:rsidRDefault="008D7615" w:rsidP="00343497">
      <w:pPr>
        <w:tabs>
          <w:tab w:val="left" w:pos="1140"/>
        </w:tabs>
      </w:pPr>
    </w:p>
    <w:p w:rsidR="008D7615" w:rsidRDefault="008D7615" w:rsidP="00343497">
      <w:pPr>
        <w:tabs>
          <w:tab w:val="left" w:pos="1140"/>
        </w:tabs>
      </w:pPr>
    </w:p>
    <w:p w:rsidR="00343497" w:rsidRDefault="00343497" w:rsidP="00343497">
      <w:pPr>
        <w:tabs>
          <w:tab w:val="left" w:pos="1140"/>
        </w:tabs>
        <w:rPr>
          <w:sz w:val="20"/>
          <w:szCs w:val="20"/>
        </w:rPr>
      </w:pPr>
      <w:r>
        <w:t>Міський голова                                                                                       Б. А. Філатов</w:t>
      </w:r>
    </w:p>
    <w:p w:rsidR="00343497" w:rsidRDefault="0034349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F75C68" w:rsidRDefault="00F75C68" w:rsidP="00343497">
      <w:pPr>
        <w:tabs>
          <w:tab w:val="left" w:pos="1140"/>
        </w:tabs>
        <w:rPr>
          <w:sz w:val="20"/>
          <w:szCs w:val="20"/>
        </w:rPr>
      </w:pPr>
    </w:p>
    <w:p w:rsidR="00F75C68" w:rsidRDefault="00F75C68" w:rsidP="00343497">
      <w:pPr>
        <w:tabs>
          <w:tab w:val="left" w:pos="1140"/>
        </w:tabs>
        <w:rPr>
          <w:sz w:val="20"/>
          <w:szCs w:val="20"/>
        </w:rPr>
      </w:pPr>
    </w:p>
    <w:p w:rsidR="00F75C68" w:rsidRDefault="00F75C68" w:rsidP="00343497">
      <w:pPr>
        <w:tabs>
          <w:tab w:val="left" w:pos="1140"/>
        </w:tabs>
        <w:rPr>
          <w:sz w:val="20"/>
          <w:szCs w:val="20"/>
        </w:rPr>
      </w:pPr>
    </w:p>
    <w:p w:rsidR="00F75C68" w:rsidRDefault="00F75C68" w:rsidP="00343497">
      <w:pPr>
        <w:tabs>
          <w:tab w:val="left" w:pos="1140"/>
        </w:tabs>
        <w:rPr>
          <w:sz w:val="20"/>
          <w:szCs w:val="20"/>
        </w:rPr>
      </w:pPr>
    </w:p>
    <w:p w:rsidR="00832652" w:rsidRDefault="00343497" w:rsidP="00343497">
      <w:pPr>
        <w:tabs>
          <w:tab w:val="left" w:pos="11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Турчак</w:t>
      </w:r>
      <w:proofErr w:type="spellEnd"/>
      <w:r w:rsidR="00961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</w:t>
      </w:r>
      <w:r w:rsidR="0096138C">
        <w:rPr>
          <w:sz w:val="20"/>
          <w:szCs w:val="20"/>
        </w:rPr>
        <w:t xml:space="preserve">льона </w:t>
      </w:r>
      <w:r>
        <w:rPr>
          <w:sz w:val="20"/>
          <w:szCs w:val="20"/>
        </w:rPr>
        <w:t xml:space="preserve"> М</w:t>
      </w:r>
      <w:r w:rsidR="0096138C">
        <w:rPr>
          <w:sz w:val="20"/>
          <w:szCs w:val="20"/>
        </w:rPr>
        <w:t>иколаївна</w:t>
      </w:r>
      <w:r w:rsidR="003524BA">
        <w:rPr>
          <w:sz w:val="20"/>
          <w:szCs w:val="20"/>
        </w:rPr>
        <w:t xml:space="preserve"> </w:t>
      </w:r>
    </w:p>
    <w:p w:rsidR="00343497" w:rsidRDefault="00343497" w:rsidP="00343497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>Воробйова О</w:t>
      </w:r>
      <w:r w:rsidR="0096138C">
        <w:rPr>
          <w:sz w:val="20"/>
          <w:szCs w:val="20"/>
        </w:rPr>
        <w:t xml:space="preserve">лена </w:t>
      </w:r>
      <w:r>
        <w:rPr>
          <w:sz w:val="20"/>
          <w:szCs w:val="20"/>
        </w:rPr>
        <w:t>О</w:t>
      </w:r>
      <w:r w:rsidR="0096138C">
        <w:rPr>
          <w:sz w:val="20"/>
          <w:szCs w:val="20"/>
        </w:rPr>
        <w:t>лександрівна</w:t>
      </w:r>
      <w:r w:rsidR="00832652">
        <w:rPr>
          <w:sz w:val="20"/>
          <w:szCs w:val="20"/>
        </w:rPr>
        <w:t xml:space="preserve"> </w:t>
      </w:r>
    </w:p>
    <w:p w:rsidR="00ED2019" w:rsidRPr="00453D4C" w:rsidRDefault="00832652" w:rsidP="00C509DC">
      <w:pPr>
        <w:tabs>
          <w:tab w:val="left" w:pos="11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Сичков</w:t>
      </w:r>
      <w:proofErr w:type="spellEnd"/>
      <w:r>
        <w:rPr>
          <w:sz w:val="20"/>
          <w:szCs w:val="20"/>
        </w:rPr>
        <w:t xml:space="preserve"> Артем Миколайович</w:t>
      </w:r>
      <w:r w:rsidR="00343497">
        <w:rPr>
          <w:sz w:val="20"/>
          <w:szCs w:val="20"/>
        </w:rPr>
        <w:t xml:space="preserve"> 778 27 90</w:t>
      </w:r>
    </w:p>
    <w:sectPr w:rsidR="00ED2019" w:rsidRPr="00453D4C" w:rsidSect="00417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6"/>
    <w:multiLevelType w:val="hybridMultilevel"/>
    <w:tmpl w:val="F45E6138"/>
    <w:lvl w:ilvl="0" w:tplc="63DC8E1A">
      <w:start w:val="3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37A38"/>
    <w:multiLevelType w:val="hybridMultilevel"/>
    <w:tmpl w:val="708C180E"/>
    <w:lvl w:ilvl="0" w:tplc="8368A4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A1"/>
    <w:multiLevelType w:val="hybridMultilevel"/>
    <w:tmpl w:val="7876DA72"/>
    <w:lvl w:ilvl="0" w:tplc="C4CC4C3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16344"/>
    <w:multiLevelType w:val="hybridMultilevel"/>
    <w:tmpl w:val="40A8C7F8"/>
    <w:lvl w:ilvl="0" w:tplc="1310B1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9E6DE8"/>
    <w:multiLevelType w:val="hybridMultilevel"/>
    <w:tmpl w:val="894A750E"/>
    <w:lvl w:ilvl="0" w:tplc="D2EE9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6086375"/>
    <w:multiLevelType w:val="hybridMultilevel"/>
    <w:tmpl w:val="5FE667EA"/>
    <w:lvl w:ilvl="0" w:tplc="DA8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F"/>
    <w:rsid w:val="000139F2"/>
    <w:rsid w:val="0001610E"/>
    <w:rsid w:val="000238AC"/>
    <w:rsid w:val="00032FB9"/>
    <w:rsid w:val="00034CD4"/>
    <w:rsid w:val="0003519A"/>
    <w:rsid w:val="000418EC"/>
    <w:rsid w:val="000465CC"/>
    <w:rsid w:val="00047CC0"/>
    <w:rsid w:val="00051D56"/>
    <w:rsid w:val="00063B5E"/>
    <w:rsid w:val="00066E21"/>
    <w:rsid w:val="0007016D"/>
    <w:rsid w:val="00070A44"/>
    <w:rsid w:val="00090BAD"/>
    <w:rsid w:val="00092525"/>
    <w:rsid w:val="000A24ED"/>
    <w:rsid w:val="000A2A90"/>
    <w:rsid w:val="000A3E52"/>
    <w:rsid w:val="000A3F94"/>
    <w:rsid w:val="000B0059"/>
    <w:rsid w:val="000B248C"/>
    <w:rsid w:val="000B351A"/>
    <w:rsid w:val="000B6943"/>
    <w:rsid w:val="000B7EA3"/>
    <w:rsid w:val="000E3E79"/>
    <w:rsid w:val="000F3782"/>
    <w:rsid w:val="00106FC2"/>
    <w:rsid w:val="00106FCA"/>
    <w:rsid w:val="00112B27"/>
    <w:rsid w:val="00115FAD"/>
    <w:rsid w:val="001178C7"/>
    <w:rsid w:val="00125FB8"/>
    <w:rsid w:val="00136832"/>
    <w:rsid w:val="0014022D"/>
    <w:rsid w:val="00150807"/>
    <w:rsid w:val="00151A72"/>
    <w:rsid w:val="00161444"/>
    <w:rsid w:val="00165416"/>
    <w:rsid w:val="001777F8"/>
    <w:rsid w:val="00190919"/>
    <w:rsid w:val="001A1583"/>
    <w:rsid w:val="001A4E44"/>
    <w:rsid w:val="001C1B45"/>
    <w:rsid w:val="001C4E1C"/>
    <w:rsid w:val="001C7128"/>
    <w:rsid w:val="001D224C"/>
    <w:rsid w:val="001E1A1D"/>
    <w:rsid w:val="001E2CAF"/>
    <w:rsid w:val="001F2E3B"/>
    <w:rsid w:val="001F55C2"/>
    <w:rsid w:val="002005CE"/>
    <w:rsid w:val="00207875"/>
    <w:rsid w:val="002134AB"/>
    <w:rsid w:val="00222A66"/>
    <w:rsid w:val="0022402F"/>
    <w:rsid w:val="00225D3D"/>
    <w:rsid w:val="002274C2"/>
    <w:rsid w:val="0023506B"/>
    <w:rsid w:val="00236096"/>
    <w:rsid w:val="002412B7"/>
    <w:rsid w:val="00242259"/>
    <w:rsid w:val="00243E09"/>
    <w:rsid w:val="00256283"/>
    <w:rsid w:val="0026008C"/>
    <w:rsid w:val="00267600"/>
    <w:rsid w:val="00267D0E"/>
    <w:rsid w:val="00285182"/>
    <w:rsid w:val="002932B2"/>
    <w:rsid w:val="002A6BAD"/>
    <w:rsid w:val="002B4F4F"/>
    <w:rsid w:val="002D272F"/>
    <w:rsid w:val="002F1230"/>
    <w:rsid w:val="002F56B0"/>
    <w:rsid w:val="0031426B"/>
    <w:rsid w:val="0031539B"/>
    <w:rsid w:val="003230B3"/>
    <w:rsid w:val="00324236"/>
    <w:rsid w:val="00324315"/>
    <w:rsid w:val="00343281"/>
    <w:rsid w:val="00343497"/>
    <w:rsid w:val="003524BA"/>
    <w:rsid w:val="003575AF"/>
    <w:rsid w:val="00364809"/>
    <w:rsid w:val="003858BB"/>
    <w:rsid w:val="003861CF"/>
    <w:rsid w:val="00393DB2"/>
    <w:rsid w:val="00393E01"/>
    <w:rsid w:val="00397FCF"/>
    <w:rsid w:val="003A152F"/>
    <w:rsid w:val="003D2EBC"/>
    <w:rsid w:val="003E0C5D"/>
    <w:rsid w:val="003E4B90"/>
    <w:rsid w:val="004044D3"/>
    <w:rsid w:val="00407BEC"/>
    <w:rsid w:val="00413E33"/>
    <w:rsid w:val="0041796F"/>
    <w:rsid w:val="00420A2F"/>
    <w:rsid w:val="0042366C"/>
    <w:rsid w:val="004238D8"/>
    <w:rsid w:val="004253A0"/>
    <w:rsid w:val="00427904"/>
    <w:rsid w:val="004312AE"/>
    <w:rsid w:val="00440A98"/>
    <w:rsid w:val="004442AD"/>
    <w:rsid w:val="00445BDB"/>
    <w:rsid w:val="00453D4C"/>
    <w:rsid w:val="00462753"/>
    <w:rsid w:val="00462929"/>
    <w:rsid w:val="00467488"/>
    <w:rsid w:val="004B0477"/>
    <w:rsid w:val="004B6D1C"/>
    <w:rsid w:val="004C774E"/>
    <w:rsid w:val="004D4B43"/>
    <w:rsid w:val="004D7B7B"/>
    <w:rsid w:val="004E5287"/>
    <w:rsid w:val="004F073E"/>
    <w:rsid w:val="004F7C41"/>
    <w:rsid w:val="00503236"/>
    <w:rsid w:val="005055E1"/>
    <w:rsid w:val="00507033"/>
    <w:rsid w:val="00524C2F"/>
    <w:rsid w:val="005305F1"/>
    <w:rsid w:val="00530D95"/>
    <w:rsid w:val="0053193A"/>
    <w:rsid w:val="00532006"/>
    <w:rsid w:val="00532CB6"/>
    <w:rsid w:val="0055116B"/>
    <w:rsid w:val="005617E5"/>
    <w:rsid w:val="00561C6E"/>
    <w:rsid w:val="005665D7"/>
    <w:rsid w:val="005855AD"/>
    <w:rsid w:val="00586BF5"/>
    <w:rsid w:val="00593586"/>
    <w:rsid w:val="005A355A"/>
    <w:rsid w:val="005A3631"/>
    <w:rsid w:val="005A496C"/>
    <w:rsid w:val="005A75E8"/>
    <w:rsid w:val="005B33A7"/>
    <w:rsid w:val="005C3E7D"/>
    <w:rsid w:val="005C4B20"/>
    <w:rsid w:val="005D0B3B"/>
    <w:rsid w:val="005D1DEE"/>
    <w:rsid w:val="005D46E1"/>
    <w:rsid w:val="005D5E94"/>
    <w:rsid w:val="005E5BBA"/>
    <w:rsid w:val="005F2D3C"/>
    <w:rsid w:val="005F584F"/>
    <w:rsid w:val="005F693F"/>
    <w:rsid w:val="005F6BE9"/>
    <w:rsid w:val="006069BB"/>
    <w:rsid w:val="00617B44"/>
    <w:rsid w:val="00622D19"/>
    <w:rsid w:val="00624034"/>
    <w:rsid w:val="00626986"/>
    <w:rsid w:val="0063334E"/>
    <w:rsid w:val="006379BE"/>
    <w:rsid w:val="0064516A"/>
    <w:rsid w:val="00645591"/>
    <w:rsid w:val="00654D03"/>
    <w:rsid w:val="00661AD7"/>
    <w:rsid w:val="0066616C"/>
    <w:rsid w:val="006677CB"/>
    <w:rsid w:val="0069302D"/>
    <w:rsid w:val="006952FF"/>
    <w:rsid w:val="006A2FDC"/>
    <w:rsid w:val="006B4B7F"/>
    <w:rsid w:val="006B7FEE"/>
    <w:rsid w:val="006D0A4B"/>
    <w:rsid w:val="006D16F3"/>
    <w:rsid w:val="006D28AC"/>
    <w:rsid w:val="006F7315"/>
    <w:rsid w:val="00700091"/>
    <w:rsid w:val="00701CED"/>
    <w:rsid w:val="00717295"/>
    <w:rsid w:val="0072092A"/>
    <w:rsid w:val="007330E0"/>
    <w:rsid w:val="00733D25"/>
    <w:rsid w:val="00737417"/>
    <w:rsid w:val="00737F0E"/>
    <w:rsid w:val="0074460D"/>
    <w:rsid w:val="00745BC2"/>
    <w:rsid w:val="00751853"/>
    <w:rsid w:val="00757049"/>
    <w:rsid w:val="00766466"/>
    <w:rsid w:val="00767328"/>
    <w:rsid w:val="007743E9"/>
    <w:rsid w:val="00776B6D"/>
    <w:rsid w:val="00790533"/>
    <w:rsid w:val="0079737C"/>
    <w:rsid w:val="007A2A5E"/>
    <w:rsid w:val="007B2F6E"/>
    <w:rsid w:val="007D009A"/>
    <w:rsid w:val="007D0AC1"/>
    <w:rsid w:val="007E7B75"/>
    <w:rsid w:val="007F1DC4"/>
    <w:rsid w:val="007F4686"/>
    <w:rsid w:val="00803754"/>
    <w:rsid w:val="008153C3"/>
    <w:rsid w:val="00823237"/>
    <w:rsid w:val="0082485C"/>
    <w:rsid w:val="00825FE5"/>
    <w:rsid w:val="00832652"/>
    <w:rsid w:val="0083574B"/>
    <w:rsid w:val="008361BE"/>
    <w:rsid w:val="00845346"/>
    <w:rsid w:val="00853C6D"/>
    <w:rsid w:val="00864896"/>
    <w:rsid w:val="008803A3"/>
    <w:rsid w:val="00896620"/>
    <w:rsid w:val="00896B21"/>
    <w:rsid w:val="008C5519"/>
    <w:rsid w:val="008C6EF5"/>
    <w:rsid w:val="008D7615"/>
    <w:rsid w:val="008E2F98"/>
    <w:rsid w:val="0090789B"/>
    <w:rsid w:val="00913E3D"/>
    <w:rsid w:val="00921BE2"/>
    <w:rsid w:val="00922619"/>
    <w:rsid w:val="00930CC8"/>
    <w:rsid w:val="00932A86"/>
    <w:rsid w:val="00941CFA"/>
    <w:rsid w:val="0096138C"/>
    <w:rsid w:val="009707E3"/>
    <w:rsid w:val="00970BB1"/>
    <w:rsid w:val="009815DE"/>
    <w:rsid w:val="00996F7E"/>
    <w:rsid w:val="00997C6B"/>
    <w:rsid w:val="009A5198"/>
    <w:rsid w:val="009B13F0"/>
    <w:rsid w:val="009C489F"/>
    <w:rsid w:val="009D7952"/>
    <w:rsid w:val="009E515F"/>
    <w:rsid w:val="009E7275"/>
    <w:rsid w:val="009F0BD2"/>
    <w:rsid w:val="00A021E6"/>
    <w:rsid w:val="00A0648C"/>
    <w:rsid w:val="00A12A2F"/>
    <w:rsid w:val="00A17D1B"/>
    <w:rsid w:val="00A25D8F"/>
    <w:rsid w:val="00A2679A"/>
    <w:rsid w:val="00A27106"/>
    <w:rsid w:val="00A2787D"/>
    <w:rsid w:val="00A367A9"/>
    <w:rsid w:val="00A46437"/>
    <w:rsid w:val="00A60CB1"/>
    <w:rsid w:val="00A76D90"/>
    <w:rsid w:val="00A8614C"/>
    <w:rsid w:val="00A87D09"/>
    <w:rsid w:val="00A87E0B"/>
    <w:rsid w:val="00A93E77"/>
    <w:rsid w:val="00A96AC5"/>
    <w:rsid w:val="00AA6547"/>
    <w:rsid w:val="00AB7D19"/>
    <w:rsid w:val="00AC1850"/>
    <w:rsid w:val="00AC5375"/>
    <w:rsid w:val="00AF1A5A"/>
    <w:rsid w:val="00AF482E"/>
    <w:rsid w:val="00B014C7"/>
    <w:rsid w:val="00B0267B"/>
    <w:rsid w:val="00B06966"/>
    <w:rsid w:val="00B1541E"/>
    <w:rsid w:val="00B17246"/>
    <w:rsid w:val="00B17590"/>
    <w:rsid w:val="00B17E98"/>
    <w:rsid w:val="00B351CB"/>
    <w:rsid w:val="00B4339D"/>
    <w:rsid w:val="00B56D4D"/>
    <w:rsid w:val="00B67EBD"/>
    <w:rsid w:val="00B77E67"/>
    <w:rsid w:val="00B97ECF"/>
    <w:rsid w:val="00BA0130"/>
    <w:rsid w:val="00BA0C98"/>
    <w:rsid w:val="00BA76F9"/>
    <w:rsid w:val="00BC3B8C"/>
    <w:rsid w:val="00BC739A"/>
    <w:rsid w:val="00BC799A"/>
    <w:rsid w:val="00BD2B89"/>
    <w:rsid w:val="00BF26E0"/>
    <w:rsid w:val="00BF302E"/>
    <w:rsid w:val="00BF43D8"/>
    <w:rsid w:val="00BF48DE"/>
    <w:rsid w:val="00BF53C3"/>
    <w:rsid w:val="00C0153F"/>
    <w:rsid w:val="00C01757"/>
    <w:rsid w:val="00C17648"/>
    <w:rsid w:val="00C17749"/>
    <w:rsid w:val="00C247A6"/>
    <w:rsid w:val="00C268EC"/>
    <w:rsid w:val="00C32F8A"/>
    <w:rsid w:val="00C344CB"/>
    <w:rsid w:val="00C509DC"/>
    <w:rsid w:val="00C578EE"/>
    <w:rsid w:val="00C602D9"/>
    <w:rsid w:val="00C60E59"/>
    <w:rsid w:val="00C62E04"/>
    <w:rsid w:val="00C723B8"/>
    <w:rsid w:val="00C725BC"/>
    <w:rsid w:val="00C757D8"/>
    <w:rsid w:val="00C8412C"/>
    <w:rsid w:val="00C87BFD"/>
    <w:rsid w:val="00C93CB5"/>
    <w:rsid w:val="00C94D05"/>
    <w:rsid w:val="00C96E5B"/>
    <w:rsid w:val="00CB0F8F"/>
    <w:rsid w:val="00CC1465"/>
    <w:rsid w:val="00CC4AAC"/>
    <w:rsid w:val="00CC631A"/>
    <w:rsid w:val="00CE517A"/>
    <w:rsid w:val="00D120A0"/>
    <w:rsid w:val="00D2684F"/>
    <w:rsid w:val="00D3324C"/>
    <w:rsid w:val="00D6111F"/>
    <w:rsid w:val="00D70F34"/>
    <w:rsid w:val="00D711F5"/>
    <w:rsid w:val="00D72C0C"/>
    <w:rsid w:val="00D763AB"/>
    <w:rsid w:val="00D76BC7"/>
    <w:rsid w:val="00D81C77"/>
    <w:rsid w:val="00D867AE"/>
    <w:rsid w:val="00D87F4A"/>
    <w:rsid w:val="00D92C94"/>
    <w:rsid w:val="00DB1734"/>
    <w:rsid w:val="00DB6B41"/>
    <w:rsid w:val="00DC1586"/>
    <w:rsid w:val="00DC160A"/>
    <w:rsid w:val="00DE2C7E"/>
    <w:rsid w:val="00DE6189"/>
    <w:rsid w:val="00DF042A"/>
    <w:rsid w:val="00DF0F14"/>
    <w:rsid w:val="00DF2CE0"/>
    <w:rsid w:val="00DF59AA"/>
    <w:rsid w:val="00E16446"/>
    <w:rsid w:val="00E363AF"/>
    <w:rsid w:val="00E40B8A"/>
    <w:rsid w:val="00E45546"/>
    <w:rsid w:val="00E913C6"/>
    <w:rsid w:val="00ED1151"/>
    <w:rsid w:val="00ED2019"/>
    <w:rsid w:val="00ED4A16"/>
    <w:rsid w:val="00EE6847"/>
    <w:rsid w:val="00EF20A3"/>
    <w:rsid w:val="00EF3F08"/>
    <w:rsid w:val="00F0199C"/>
    <w:rsid w:val="00F04DFD"/>
    <w:rsid w:val="00F1124F"/>
    <w:rsid w:val="00F14FB6"/>
    <w:rsid w:val="00F31CCF"/>
    <w:rsid w:val="00F413AE"/>
    <w:rsid w:val="00F42696"/>
    <w:rsid w:val="00F46909"/>
    <w:rsid w:val="00F54DCE"/>
    <w:rsid w:val="00F70B7B"/>
    <w:rsid w:val="00F72E87"/>
    <w:rsid w:val="00F74510"/>
    <w:rsid w:val="00F75C68"/>
    <w:rsid w:val="00F77088"/>
    <w:rsid w:val="00F97771"/>
    <w:rsid w:val="00FA315E"/>
    <w:rsid w:val="00FA4B48"/>
    <w:rsid w:val="00FA4DBC"/>
    <w:rsid w:val="00FB03BF"/>
    <w:rsid w:val="00FB72AF"/>
    <w:rsid w:val="00FC0CAA"/>
    <w:rsid w:val="00FC2C40"/>
    <w:rsid w:val="00FC46CA"/>
    <w:rsid w:val="00FC7B06"/>
    <w:rsid w:val="00FD1C92"/>
    <w:rsid w:val="00FD20E7"/>
    <w:rsid w:val="00FE5A02"/>
    <w:rsid w:val="00FE68A2"/>
    <w:rsid w:val="00FF20A2"/>
    <w:rsid w:val="00FF3AF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F0A1"/>
  <w15:chartTrackingRefBased/>
  <w15:docId w15:val="{953BD0A0-7197-45EE-B3B5-0B4D92D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8F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8E2F9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A25D8F"/>
    <w:pPr>
      <w:jc w:val="center"/>
    </w:pPr>
    <w:rPr>
      <w:sz w:val="24"/>
      <w:szCs w:val="20"/>
    </w:rPr>
  </w:style>
  <w:style w:type="paragraph" w:styleId="a5">
    <w:name w:val="Body Text"/>
    <w:basedOn w:val="a"/>
    <w:link w:val="a6"/>
    <w:rsid w:val="00A25D8F"/>
    <w:pPr>
      <w:jc w:val="both"/>
    </w:pPr>
    <w:rPr>
      <w:szCs w:val="20"/>
    </w:rPr>
  </w:style>
  <w:style w:type="character" w:customStyle="1" w:styleId="I3">
    <w:name w:val="I3"/>
    <w:rsid w:val="00222A66"/>
    <w:rPr>
      <w:rFonts w:ascii="Courier New" w:hAnsi="Courier New"/>
      <w:sz w:val="20"/>
    </w:rPr>
  </w:style>
  <w:style w:type="paragraph" w:styleId="2">
    <w:name w:val="Body Text 2"/>
    <w:basedOn w:val="a"/>
    <w:rsid w:val="005F6BE9"/>
    <w:pPr>
      <w:spacing w:after="120" w:line="480" w:lineRule="auto"/>
    </w:pPr>
  </w:style>
  <w:style w:type="paragraph" w:styleId="HTML">
    <w:name w:val="HTML Preformatted"/>
    <w:basedOn w:val="a"/>
    <w:rsid w:val="005F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70"/>
      <w:szCs w:val="70"/>
      <w:lang w:val="ru-RU"/>
    </w:rPr>
  </w:style>
  <w:style w:type="paragraph" w:customStyle="1" w:styleId="a7">
    <w:name w:val="Знак"/>
    <w:basedOn w:val="a"/>
    <w:rsid w:val="005B33A7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CC631A"/>
    <w:pPr>
      <w:spacing w:after="120"/>
      <w:ind w:left="283"/>
    </w:pPr>
  </w:style>
  <w:style w:type="paragraph" w:customStyle="1" w:styleId="a9">
    <w:name w:val="Знак"/>
    <w:basedOn w:val="a"/>
    <w:rsid w:val="00DF042A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803754"/>
    <w:rPr>
      <w:color w:val="0000FF"/>
      <w:u w:val="single"/>
    </w:rPr>
  </w:style>
  <w:style w:type="paragraph" w:customStyle="1" w:styleId="10">
    <w:name w:val="Знак1"/>
    <w:basedOn w:val="a"/>
    <w:rsid w:val="000465C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343497"/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343497"/>
    <w:rPr>
      <w:sz w:val="28"/>
      <w:lang w:val="uk-UA"/>
    </w:rPr>
  </w:style>
  <w:style w:type="paragraph" w:customStyle="1" w:styleId="ab">
    <w:name w:val="Знак"/>
    <w:basedOn w:val="a"/>
    <w:rsid w:val="00832652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F75C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75C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 № __________</vt:lpstr>
    </vt:vector>
  </TitlesOfParts>
  <Company>Home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 № __________</dc:title>
  <dc:subject/>
  <dc:creator>User</dc:creator>
  <cp:keywords/>
  <dc:description/>
  <cp:lastModifiedBy>Ольга Володимирівна Мороз</cp:lastModifiedBy>
  <cp:revision>2</cp:revision>
  <cp:lastPrinted>2020-03-18T14:18:00Z</cp:lastPrinted>
  <dcterms:created xsi:type="dcterms:W3CDTF">2020-03-18T14:27:00Z</dcterms:created>
  <dcterms:modified xsi:type="dcterms:W3CDTF">2020-03-18T14:27:00Z</dcterms:modified>
</cp:coreProperties>
</file>