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Pr="0089598C" w:rsidRDefault="00B37229" w:rsidP="00895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Агентства «Антикорупційна правозахисна рада»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'єкт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за </w:t>
      </w:r>
      <w:proofErr w:type="spellStart"/>
      <w:r w:rsidR="00DD7A2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провулок 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 xml:space="preserve">Екіпажний, 3;                   м. Дніпро, </w:t>
      </w:r>
      <w:proofErr w:type="spellStart"/>
      <w:r w:rsidR="0089598C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89598C">
        <w:rPr>
          <w:rFonts w:ascii="Times New Roman" w:hAnsi="Times New Roman" w:cs="Times New Roman"/>
          <w:sz w:val="28"/>
          <w:szCs w:val="28"/>
          <w:lang w:val="uk-UA"/>
        </w:rPr>
        <w:t xml:space="preserve"> Дементьєва, 1А; м. Дніпро, вул. Семафорна 32 Б,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sectPr w:rsidR="00DD7A2D" w:rsidRPr="0089598C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709A"/>
    <w:rsid w:val="00CA2697"/>
    <w:rsid w:val="00CA420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2021-07-08T11:50:00Z</cp:lastPrinted>
  <dcterms:created xsi:type="dcterms:W3CDTF">2021-07-14T10:34:00Z</dcterms:created>
  <dcterms:modified xsi:type="dcterms:W3CDTF">2023-04-19T07:58:00Z</dcterms:modified>
</cp:coreProperties>
</file>