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143508">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17.04.2024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C816C6" w:rsidP="00B334AF">
      <w:pPr>
        <w:shd w:val="clear" w:color="auto" w:fill="FDFEFD"/>
        <w:spacing w:line="240" w:lineRule="auto"/>
        <w:jc w:val="center"/>
        <w:textAlignment w:val="baseline"/>
        <w:rPr>
          <w:rFonts w:ascii="Times New Roman" w:hAnsi="Times New Roman" w:cs="Times New Roman"/>
        </w:rPr>
      </w:pPr>
      <w:r w:rsidRPr="00C816C6">
        <w:rPr>
          <w:rFonts w:ascii="Times New Roman" w:hAnsi="Times New Roman" w:cs="Times New Roman"/>
        </w:rPr>
        <w:t>UA-2024-04-17-011475-a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143508" w:rsidP="00FC0DC1">
      <w:pPr>
        <w:spacing w:line="240" w:lineRule="auto"/>
        <w:ind w:firstLine="567"/>
        <w:jc w:val="center"/>
        <w:rPr>
          <w:rFonts w:ascii="Times New Roman" w:eastAsia="SimSun" w:hAnsi="Times New Roman" w:cs="Times New Roman"/>
          <w:bCs/>
          <w:iCs/>
          <w:sz w:val="24"/>
          <w:szCs w:val="24"/>
          <w:lang w:val="uk-UA" w:eastAsia="uk-UA"/>
        </w:rPr>
      </w:pPr>
      <w:r w:rsidRPr="00143508">
        <w:rPr>
          <w:rFonts w:ascii="Times New Roman" w:eastAsia="SimSun" w:hAnsi="Times New Roman" w:cs="Times New Roman"/>
          <w:b/>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143508">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143508" w:rsidRPr="00143508">
        <w:rPr>
          <w:rFonts w:ascii="Times New Roman" w:eastAsia="SimSun" w:hAnsi="Times New Roman" w:cs="Times New Roman"/>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r w:rsidR="002F5086" w:rsidRPr="00FC0DC1">
        <w:rPr>
          <w:rFonts w:ascii="Times New Roman" w:eastAsia="SimSun" w:hAnsi="Times New Roman" w:cs="Times New Roman"/>
          <w:bCs/>
          <w:iCs/>
          <w:sz w:val="24"/>
          <w:szCs w:val="24"/>
          <w:lang w:val="uk-UA" w:eastAsia="uk-UA"/>
        </w:rPr>
        <w:t>;</w:t>
      </w:r>
    </w:p>
    <w:p w:rsidR="001A7698" w:rsidRPr="00810186" w:rsidRDefault="00B334AF" w:rsidP="00143508">
      <w:pPr>
        <w:pStyle w:val="a9"/>
        <w:numPr>
          <w:ilvl w:val="0"/>
          <w:numId w:val="2"/>
        </w:numPr>
        <w:spacing w:line="240" w:lineRule="auto"/>
        <w:jc w:val="both"/>
        <w:rPr>
          <w:rFonts w:ascii="Times New Roman" w:hAnsi="Times New Roman" w:cs="Times New Roman"/>
          <w:sz w:val="24"/>
          <w:szCs w:val="24"/>
          <w:lang w:val="ru-RU"/>
        </w:rPr>
      </w:pPr>
      <w:r w:rsidRPr="00FC0DC1">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C0DC1">
        <w:rPr>
          <w:rFonts w:ascii="Times New Roman" w:eastAsia="Times New Roman" w:hAnsi="Times New Roman" w:cs="Times New Roman"/>
          <w:sz w:val="24"/>
          <w:szCs w:val="24"/>
          <w:lang w:val="uk-UA"/>
        </w:rPr>
        <w:t xml:space="preserve"> </w:t>
      </w:r>
      <w:r w:rsidR="00143508" w:rsidRPr="00143508">
        <w:rPr>
          <w:rFonts w:ascii="Times New Roman" w:hAnsi="Times New Roman" w:cs="Times New Roman"/>
          <w:sz w:val="24"/>
          <w:szCs w:val="24"/>
          <w:lang w:val="uk-UA"/>
        </w:rPr>
        <w:t xml:space="preserve">49011, Україна, Дніпропетровська обл., м. Дніпро, </w:t>
      </w:r>
      <w:proofErr w:type="spellStart"/>
      <w:r w:rsidR="00143508" w:rsidRPr="00143508">
        <w:rPr>
          <w:rFonts w:ascii="Times New Roman" w:hAnsi="Times New Roman" w:cs="Times New Roman"/>
          <w:sz w:val="24"/>
          <w:szCs w:val="24"/>
          <w:lang w:val="uk-UA"/>
        </w:rPr>
        <w:t>провул</w:t>
      </w:r>
      <w:proofErr w:type="spellEnd"/>
      <w:r w:rsidR="00143508" w:rsidRPr="00143508">
        <w:rPr>
          <w:rFonts w:ascii="Times New Roman" w:hAnsi="Times New Roman" w:cs="Times New Roman"/>
          <w:sz w:val="24"/>
          <w:szCs w:val="24"/>
          <w:lang w:val="uk-UA"/>
        </w:rPr>
        <w:t>. Альпійський, буд. 5А</w:t>
      </w:r>
      <w:r w:rsidR="001A7698" w:rsidRPr="00810186">
        <w:rPr>
          <w:rFonts w:ascii="Times New Roman" w:hAnsi="Times New Roman" w:cs="Times New Roman"/>
          <w:sz w:val="24"/>
          <w:szCs w:val="24"/>
          <w:lang w:val="uk-UA"/>
        </w:rPr>
        <w:t>;</w:t>
      </w:r>
    </w:p>
    <w:p w:rsidR="00143508" w:rsidRPr="00143508" w:rsidRDefault="00143508" w:rsidP="00143508">
      <w:pPr>
        <w:pStyle w:val="a9"/>
        <w:spacing w:line="240" w:lineRule="auto"/>
        <w:ind w:left="927"/>
        <w:jc w:val="both"/>
        <w:rPr>
          <w:rFonts w:ascii="Times New Roman" w:hAnsi="Times New Roman" w:cs="Times New Roman"/>
          <w:sz w:val="24"/>
          <w:szCs w:val="24"/>
          <w:lang w:val="uk-UA"/>
        </w:rPr>
      </w:pPr>
      <w:r w:rsidRPr="00143508">
        <w:rPr>
          <w:rFonts w:ascii="Times New Roman" w:hAnsi="Times New Roman" w:cs="Times New Roman"/>
          <w:sz w:val="24"/>
          <w:szCs w:val="24"/>
          <w:lang w:val="uk-UA"/>
        </w:rPr>
        <w:t>Обсяги: 2 шт</w:t>
      </w:r>
    </w:p>
    <w:p w:rsidR="00143508" w:rsidRPr="00143508" w:rsidRDefault="00143508" w:rsidP="00143508">
      <w:pPr>
        <w:pStyle w:val="a9"/>
        <w:spacing w:line="240" w:lineRule="auto"/>
        <w:ind w:left="927"/>
        <w:jc w:val="both"/>
        <w:rPr>
          <w:rFonts w:ascii="Times New Roman" w:hAnsi="Times New Roman" w:cs="Times New Roman"/>
          <w:sz w:val="24"/>
          <w:szCs w:val="24"/>
          <w:lang w:val="uk-UA"/>
        </w:rPr>
      </w:pPr>
      <w:r w:rsidRPr="00143508">
        <w:rPr>
          <w:rFonts w:ascii="Times New Roman" w:hAnsi="Times New Roman" w:cs="Times New Roman"/>
          <w:sz w:val="24"/>
          <w:szCs w:val="24"/>
          <w:lang w:val="uk-UA"/>
        </w:rPr>
        <w:t xml:space="preserve">Номенклатурні позиції: </w:t>
      </w:r>
    </w:p>
    <w:p w:rsidR="00143508" w:rsidRPr="00143508" w:rsidRDefault="00143508" w:rsidP="00143508">
      <w:pPr>
        <w:pStyle w:val="a9"/>
        <w:spacing w:line="240" w:lineRule="auto"/>
        <w:ind w:left="927"/>
        <w:jc w:val="both"/>
        <w:rPr>
          <w:rFonts w:ascii="Times New Roman" w:hAnsi="Times New Roman" w:cs="Times New Roman"/>
          <w:sz w:val="24"/>
          <w:szCs w:val="24"/>
          <w:lang w:val="uk-UA"/>
        </w:rPr>
      </w:pPr>
      <w:r w:rsidRPr="00143508">
        <w:rPr>
          <w:rFonts w:ascii="Times New Roman" w:hAnsi="Times New Roman" w:cs="Times New Roman"/>
          <w:sz w:val="24"/>
          <w:szCs w:val="24"/>
          <w:lang w:val="uk-UA"/>
        </w:rPr>
        <w:t>1) Гойдалка на металевих стійках одинарна – 1 шт</w:t>
      </w:r>
    </w:p>
    <w:p w:rsidR="00143508" w:rsidRPr="00143508" w:rsidRDefault="00143508" w:rsidP="00143508">
      <w:pPr>
        <w:pStyle w:val="a9"/>
        <w:spacing w:line="240" w:lineRule="auto"/>
        <w:ind w:left="927"/>
        <w:jc w:val="both"/>
        <w:rPr>
          <w:rFonts w:ascii="Times New Roman" w:hAnsi="Times New Roman" w:cs="Times New Roman"/>
          <w:sz w:val="24"/>
          <w:szCs w:val="24"/>
          <w:lang w:val="uk-UA"/>
        </w:rPr>
      </w:pPr>
      <w:r w:rsidRPr="00143508">
        <w:rPr>
          <w:rFonts w:ascii="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143508" w:rsidRPr="00143508" w:rsidRDefault="00143508" w:rsidP="00143508">
      <w:pPr>
        <w:pStyle w:val="a9"/>
        <w:spacing w:line="240" w:lineRule="auto"/>
        <w:ind w:left="927"/>
        <w:jc w:val="both"/>
        <w:rPr>
          <w:rFonts w:ascii="Times New Roman" w:hAnsi="Times New Roman" w:cs="Times New Roman"/>
          <w:sz w:val="24"/>
          <w:szCs w:val="24"/>
          <w:lang w:val="uk-UA"/>
        </w:rPr>
      </w:pPr>
      <w:r w:rsidRPr="00143508">
        <w:rPr>
          <w:rFonts w:ascii="Times New Roman" w:hAnsi="Times New Roman" w:cs="Times New Roman"/>
          <w:sz w:val="24"/>
          <w:szCs w:val="24"/>
          <w:lang w:val="uk-UA"/>
        </w:rPr>
        <w:t xml:space="preserve"> 2) Ігровий комплекс – 1 шт</w:t>
      </w:r>
    </w:p>
    <w:p w:rsidR="00F56791" w:rsidRDefault="00143508" w:rsidP="00143508">
      <w:pPr>
        <w:pStyle w:val="a9"/>
        <w:spacing w:line="240" w:lineRule="auto"/>
        <w:ind w:left="927"/>
        <w:jc w:val="both"/>
        <w:rPr>
          <w:rFonts w:ascii="Times New Roman" w:hAnsi="Times New Roman" w:cs="Times New Roman"/>
          <w:sz w:val="24"/>
          <w:szCs w:val="24"/>
          <w:lang w:val="uk-UA"/>
        </w:rPr>
      </w:pPr>
      <w:r w:rsidRPr="00143508">
        <w:rPr>
          <w:rFonts w:ascii="Times New Roman" w:hAnsi="Times New Roman" w:cs="Times New Roman"/>
          <w:sz w:val="24"/>
          <w:szCs w:val="24"/>
          <w:lang w:val="uk-UA"/>
        </w:rPr>
        <w:t xml:space="preserve">(Код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143508">
        <w:rPr>
          <w:rFonts w:ascii="Times New Roman" w:hAnsi="Times New Roman" w:cs="Times New Roman"/>
          <w:sz w:val="24"/>
          <w:szCs w:val="24"/>
          <w:lang w:val="uk-UA"/>
        </w:rPr>
        <w:t>серпня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C816C6" w:rsidRDefault="00B334AF" w:rsidP="00C816C6">
      <w:pPr>
        <w:pStyle w:val="a9"/>
        <w:numPr>
          <w:ilvl w:val="0"/>
          <w:numId w:val="2"/>
        </w:numPr>
        <w:spacing w:line="240" w:lineRule="auto"/>
        <w:jc w:val="both"/>
        <w:rPr>
          <w:rFonts w:ascii="Times New Roman" w:eastAsia="Times New Roman" w:hAnsi="Times New Roman" w:cs="Times New Roman"/>
          <w:sz w:val="24"/>
          <w:szCs w:val="24"/>
          <w:lang w:val="uk-UA"/>
        </w:rPr>
      </w:pPr>
      <w:r w:rsidRPr="00C816C6">
        <w:rPr>
          <w:rFonts w:ascii="Times New Roman" w:hAnsi="Times New Roman" w:cs="Times New Roman"/>
          <w:b/>
          <w:bCs/>
          <w:i/>
          <w:iCs/>
          <w:sz w:val="24"/>
          <w:szCs w:val="24"/>
          <w:lang w:val="uk-UA"/>
        </w:rPr>
        <w:t>Вид закупівлі:</w:t>
      </w:r>
      <w:r w:rsidRPr="00C816C6">
        <w:rPr>
          <w:rFonts w:ascii="Times New Roman" w:hAnsi="Times New Roman" w:cs="Times New Roman"/>
          <w:sz w:val="24"/>
          <w:szCs w:val="24"/>
          <w:lang w:val="uk-UA"/>
        </w:rPr>
        <w:t xml:space="preserve"> Відкриті торги з особливостями. Ідентифікатор закупівлі: </w:t>
      </w:r>
      <w:r w:rsidR="00C816C6" w:rsidRPr="00C816C6">
        <w:rPr>
          <w:rFonts w:ascii="Times New Roman" w:hAnsi="Times New Roman" w:cs="Times New Roman"/>
          <w:sz w:val="24"/>
          <w:szCs w:val="24"/>
        </w:rPr>
        <w:t>UA-2024-04-17-011475-a</w:t>
      </w:r>
      <w:r w:rsidR="00C816C6">
        <w:rPr>
          <w:rFonts w:ascii="Times New Roman" w:hAnsi="Times New Roman" w:cs="Times New Roman"/>
          <w:sz w:val="24"/>
          <w:szCs w:val="24"/>
          <w:lang w:val="uk-UA"/>
        </w:rPr>
        <w:t>.</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143508" w:rsidRPr="00143508">
        <w:rPr>
          <w:rFonts w:ascii="Times New Roman" w:eastAsia="SimSun" w:hAnsi="Times New Roman" w:cs="Times New Roman"/>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lastRenderedPageBreak/>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143508" w:rsidRPr="00143508">
        <w:rPr>
          <w:rFonts w:ascii="Times New Roman" w:hAnsi="Times New Roman" w:cs="Times New Roman"/>
          <w:sz w:val="24"/>
          <w:szCs w:val="24"/>
          <w:lang w:val="uk-UA"/>
        </w:rPr>
        <w:t xml:space="preserve">49011, Україна, Дніпропетровська обл., м. Дніпро, </w:t>
      </w:r>
      <w:proofErr w:type="spellStart"/>
      <w:r w:rsidR="00143508" w:rsidRPr="00143508">
        <w:rPr>
          <w:rFonts w:ascii="Times New Roman" w:hAnsi="Times New Roman" w:cs="Times New Roman"/>
          <w:sz w:val="24"/>
          <w:szCs w:val="24"/>
          <w:lang w:val="uk-UA"/>
        </w:rPr>
        <w:t>провул</w:t>
      </w:r>
      <w:proofErr w:type="spellEnd"/>
      <w:r w:rsidR="00143508" w:rsidRPr="00143508">
        <w:rPr>
          <w:rFonts w:ascii="Times New Roman" w:hAnsi="Times New Roman" w:cs="Times New Roman"/>
          <w:sz w:val="24"/>
          <w:szCs w:val="24"/>
          <w:lang w:val="uk-UA"/>
        </w:rPr>
        <w:t>. Альпійський, буд. 5А</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143508">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143508" w:rsidRPr="00143508">
        <w:rPr>
          <w:rFonts w:ascii="Times New Roman" w:hAnsi="Times New Roman" w:cs="Times New Roman"/>
          <w:color w:val="000000" w:themeColor="text1"/>
          <w:sz w:val="24"/>
          <w:szCs w:val="24"/>
          <w:lang w:val="uk-UA"/>
        </w:rPr>
        <w:t>213 200,00 грн. (двісті тринадцять тисяч двісті грн. 00 коп.)</w:t>
      </w:r>
      <w:r w:rsidR="00597AC3" w:rsidRPr="00597AC3">
        <w:rPr>
          <w:rFonts w:ascii="Times New Roman" w:hAnsi="Times New Roman" w:cs="Times New Roman"/>
          <w:color w:val="000000" w:themeColor="text1"/>
          <w:sz w:val="24"/>
          <w:szCs w:val="24"/>
          <w:lang w:val="uk-UA"/>
        </w:rPr>
        <w:t>,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072BA0">
        <w:rPr>
          <w:rFonts w:ascii="Times New Roman" w:eastAsia="Times New Roman" w:hAnsi="Times New Roman" w:cs="Times New Roman"/>
          <w:sz w:val="24"/>
          <w:szCs w:val="24"/>
          <w:lang w:val="uk-UA"/>
        </w:rPr>
        <w:t>0</w:t>
      </w:r>
      <w:bookmarkStart w:id="0" w:name="_GoBack"/>
      <w:bookmarkEnd w:id="0"/>
      <w:r w:rsidR="00143508">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C816C6" w:rsidRPr="00C816C6">
        <w:rPr>
          <w:rFonts w:ascii="Times New Roman" w:hAnsi="Times New Roman" w:cs="Times New Roman"/>
        </w:rPr>
        <w:t>UA-2024-04-17-011475-a</w:t>
      </w:r>
      <w:r w:rsidR="00A02C45" w:rsidRPr="00C816C6">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 xml:space="preserve">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143508" w:rsidRPr="00143508">
        <w:rPr>
          <w:rFonts w:ascii="Times New Roman" w:hAnsi="Times New Roman" w:cs="Times New Roman"/>
          <w:color w:val="000000" w:themeColor="text1"/>
          <w:sz w:val="24"/>
          <w:szCs w:val="24"/>
          <w:lang w:val="uk-UA"/>
        </w:rPr>
        <w:t>213 200,00 грн. (двісті тринадцять тисяч двісті грн. 00 коп.)</w:t>
      </w:r>
      <w:r w:rsidR="00597AC3" w:rsidRPr="00597AC3">
        <w:rPr>
          <w:rFonts w:ascii="Times New Roman" w:hAnsi="Times New Roman" w:cs="Times New Roman"/>
          <w:color w:val="000000" w:themeColor="text1"/>
          <w:sz w:val="24"/>
          <w:szCs w:val="24"/>
          <w:lang w:val="uk-UA"/>
        </w:rPr>
        <w:t>, 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78" w:rsidRDefault="00B72378">
      <w:pPr>
        <w:spacing w:line="240" w:lineRule="auto"/>
      </w:pPr>
      <w:r>
        <w:separator/>
      </w:r>
    </w:p>
  </w:endnote>
  <w:endnote w:type="continuationSeparator" w:id="0">
    <w:p w:rsidR="00B72378" w:rsidRDefault="00B72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78" w:rsidRDefault="00B72378">
      <w:pPr>
        <w:spacing w:line="240" w:lineRule="auto"/>
      </w:pPr>
      <w:r>
        <w:separator/>
      </w:r>
    </w:p>
  </w:footnote>
  <w:footnote w:type="continuationSeparator" w:id="0">
    <w:p w:rsidR="00B72378" w:rsidRDefault="00B723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72BA0"/>
    <w:rsid w:val="000864DB"/>
    <w:rsid w:val="000C22D9"/>
    <w:rsid w:val="00130666"/>
    <w:rsid w:val="00143508"/>
    <w:rsid w:val="00165968"/>
    <w:rsid w:val="00176181"/>
    <w:rsid w:val="001A7698"/>
    <w:rsid w:val="001D61A8"/>
    <w:rsid w:val="002A3986"/>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F5C93"/>
    <w:rsid w:val="00707D1B"/>
    <w:rsid w:val="00745CDB"/>
    <w:rsid w:val="00786C74"/>
    <w:rsid w:val="007B04F2"/>
    <w:rsid w:val="007D2601"/>
    <w:rsid w:val="007E53F2"/>
    <w:rsid w:val="008047F2"/>
    <w:rsid w:val="00810186"/>
    <w:rsid w:val="008F0009"/>
    <w:rsid w:val="008F636F"/>
    <w:rsid w:val="00927432"/>
    <w:rsid w:val="009B385F"/>
    <w:rsid w:val="009B5F0A"/>
    <w:rsid w:val="00A02C45"/>
    <w:rsid w:val="00A034D1"/>
    <w:rsid w:val="00A17F64"/>
    <w:rsid w:val="00A243C6"/>
    <w:rsid w:val="00A30B12"/>
    <w:rsid w:val="00A65A3C"/>
    <w:rsid w:val="00AE4059"/>
    <w:rsid w:val="00B334AF"/>
    <w:rsid w:val="00B72378"/>
    <w:rsid w:val="00B832D1"/>
    <w:rsid w:val="00C02597"/>
    <w:rsid w:val="00C21E74"/>
    <w:rsid w:val="00C24C4C"/>
    <w:rsid w:val="00C36FB6"/>
    <w:rsid w:val="00C816C6"/>
    <w:rsid w:val="00CA21B5"/>
    <w:rsid w:val="00CA5090"/>
    <w:rsid w:val="00CA554D"/>
    <w:rsid w:val="00D31104"/>
    <w:rsid w:val="00D31625"/>
    <w:rsid w:val="00D35708"/>
    <w:rsid w:val="00D82F64"/>
    <w:rsid w:val="00D94BD7"/>
    <w:rsid w:val="00DF1A07"/>
    <w:rsid w:val="00E07294"/>
    <w:rsid w:val="00E367AC"/>
    <w:rsid w:val="00E41624"/>
    <w:rsid w:val="00E57159"/>
    <w:rsid w:val="00EF0B71"/>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3</cp:revision>
  <dcterms:created xsi:type="dcterms:W3CDTF">2024-04-17T13:20:00Z</dcterms:created>
  <dcterms:modified xsi:type="dcterms:W3CDTF">2024-05-02T06:10:00Z</dcterms:modified>
</cp:coreProperties>
</file>