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80"/>
          <w:sz w:val="28"/>
          <w:szCs w:val="28"/>
        </w:rPr>
      </w:pPr>
      <w:r w:rsidDel="00000000" w:rsidR="00000000" w:rsidRPr="00000000">
        <w:rPr>
          <w:rFonts w:ascii="Times New Roman" w:cs="Times New Roman" w:eastAsia="Times New Roman" w:hAnsi="Times New Roman"/>
          <w:color w:val="000080"/>
          <w:sz w:val="28"/>
          <w:szCs w:val="28"/>
        </w:rPr>
        <w:drawing>
          <wp:inline distB="0" distT="0" distL="0" distR="0">
            <wp:extent cx="525780" cy="609600"/>
            <wp:effectExtent b="0" l="0" r="0" t="0"/>
            <wp:docPr descr="https://lh7-rt.googleusercontent.com/docsz/AD_4nXdMBPaXGj3THq8e6mZHvZTxG9qn1Z6wCzvke2KUhVGfImpLdb91mCiZzyhFeBg7gZicTJfDIO2EfhYjddGlJfYD8q7TgztY5TacYHJrPYFYXxrpX8aK4BoMit6FVlys9zVvZ8OeGjGvgHwIsrgvL1I?key=q3cLbK9-9g37EgqT3XAkgLmA" id="455835766" name="image1.png"/>
            <a:graphic>
              <a:graphicData uri="http://schemas.openxmlformats.org/drawingml/2006/picture">
                <pic:pic>
                  <pic:nvPicPr>
                    <pic:cNvPr descr="https://lh7-rt.googleusercontent.com/docsz/AD_4nXdMBPaXGj3THq8e6mZHvZTxG9qn1Z6wCzvke2KUhVGfImpLdb91mCiZzyhFeBg7gZicTJfDIO2EfhYjddGlJfYD8q7TgztY5TacYHJrPYFYXxrpX8aK4BoMit6FVlys9zVvZ8OeGjGvgHwIsrgvL1I?key=q3cLbK9-9g37EgqT3XAkgLmA" id="0" name="image1.png"/>
                    <pic:cNvPicPr preferRelativeResize="0"/>
                  </pic:nvPicPr>
                  <pic:blipFill>
                    <a:blip r:embed="rId7"/>
                    <a:srcRect b="0" l="0" r="0" t="0"/>
                    <a:stretch>
                      <a:fillRect/>
                    </a:stretch>
                  </pic:blipFill>
                  <pic:spPr>
                    <a:xfrm>
                      <a:off x="0" y="0"/>
                      <a:ext cx="52578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80"/>
          <w:sz w:val="28"/>
          <w:szCs w:val="28"/>
          <w:rtl w:val="0"/>
        </w:rPr>
        <w:t xml:space="preserve">ДНІПРОВСЬКА МІСЬКА РАДА</w:t>
        <w:br w:type="textWrapping"/>
        <w:t xml:space="preserve">КОМУНАЛЬНЕ ПІДПРИЄМСТВО «РОЗВИТОК ТЕРИТОРІЙ МІСТА»</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ОБГРУНТУВАННЯ</w:t>
      </w:r>
    </w:p>
    <w:p w:rsidR="00000000" w:rsidDel="00000000" w:rsidP="00000000" w:rsidRDefault="00000000" w:rsidRPr="00000000" w14:paraId="00000005">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технічних та якісних характеристик предмета закупівлі, розміру бюджетного призначення, очікуваної вартості предмета закупівлі</w:t>
      </w:r>
    </w:p>
    <w:p w:rsidR="00000000" w:rsidDel="00000000" w:rsidP="00000000" w:rsidRDefault="00000000" w:rsidRPr="00000000" w14:paraId="00000006">
      <w:pPr>
        <w:shd w:fill="fdfefd" w:val="clea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(Постанова КМУ від 11 жовтня 2016 р. № 710 «Про ефективне використання державних коштів» (зі </w:t>
      </w:r>
      <w:r w:rsidDel="00000000" w:rsidR="00000000" w:rsidRPr="00000000">
        <w:rPr>
          <w:rFonts w:ascii="Times New Roman" w:cs="Times New Roman" w:eastAsia="Times New Roman" w:hAnsi="Times New Roman"/>
          <w:sz w:val="24"/>
          <w:szCs w:val="24"/>
          <w:rtl w:val="0"/>
        </w:rPr>
        <w:t xml:space="preserve">змінами))</w:t>
      </w:r>
    </w:p>
    <w:p w:rsidR="00000000" w:rsidDel="00000000" w:rsidP="00000000" w:rsidRDefault="00000000" w:rsidRPr="00000000" w14:paraId="00000007">
      <w:pPr>
        <w:spacing w:after="240" w:before="240" w:line="276"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UA-2025-04-11-012035-a </w:t>
      </w:r>
      <w:r w:rsidDel="00000000" w:rsidR="00000000" w:rsidRPr="00000000">
        <w:rPr>
          <w:rtl w:val="0"/>
        </w:rPr>
      </w:r>
    </w:p>
    <w:p w:rsidR="00000000" w:rsidDel="00000000" w:rsidP="00000000" w:rsidRDefault="00000000" w:rsidRPr="00000000" w14:paraId="00000008">
      <w:pPr>
        <w:spacing w:after="240" w:before="240" w:line="276"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Послуги з благоустрою населених пунктів - послуги з заміни піску в пісочницях   (ДК 021:2015: 45110000-1 - Руйнування та знесення будівель і земляні роботи (ДК 021:2015: 45112723-9 - Благоустрій ігрових майданчиків))</w:t>
      </w:r>
    </w:p>
    <w:p w:rsidR="00000000" w:rsidDel="00000000" w:rsidP="00000000" w:rsidRDefault="00000000" w:rsidRPr="00000000" w14:paraId="00000009">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Найменування замовника:</w:t>
      </w:r>
      <w:r w:rsidDel="00000000" w:rsidR="00000000" w:rsidRPr="00000000">
        <w:rPr>
          <w:rFonts w:ascii="Times New Roman" w:cs="Times New Roman" w:eastAsia="Times New Roman" w:hAnsi="Times New Roman"/>
          <w:sz w:val="24"/>
          <w:szCs w:val="24"/>
          <w:rtl w:val="0"/>
        </w:rPr>
        <w:t xml:space="preserve"> Комунальне підприємство «Розвиток територій міста» Дніпровської міської ради;</w:t>
      </w:r>
    </w:p>
    <w:p w:rsidR="00000000" w:rsidDel="00000000" w:rsidP="00000000" w:rsidRDefault="00000000" w:rsidRPr="00000000" w14:paraId="0000000A">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Місцезнаходження замовника:</w:t>
      </w:r>
      <w:r w:rsidDel="00000000" w:rsidR="00000000" w:rsidRPr="00000000">
        <w:rPr>
          <w:rFonts w:ascii="Times New Roman" w:cs="Times New Roman" w:eastAsia="Times New Roman" w:hAnsi="Times New Roman"/>
          <w:sz w:val="24"/>
          <w:szCs w:val="24"/>
          <w:rtl w:val="0"/>
        </w:rPr>
        <w:t xml:space="preserve"> 49000, Україна, Дніпропетровська область, м. Дніпро, проспект Дмитра Яворницького, 75;</w:t>
      </w:r>
    </w:p>
    <w:p w:rsidR="00000000" w:rsidDel="00000000" w:rsidP="00000000" w:rsidRDefault="00000000" w:rsidRPr="00000000" w14:paraId="0000000B">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Ідентифікаційний код замовника в Єдиному державному реєстрі юридичних осіб, фізичних осіб-підприємців та громадських формувань:</w:t>
      </w:r>
      <w:r w:rsidDel="00000000" w:rsidR="00000000" w:rsidRPr="00000000">
        <w:rPr>
          <w:rFonts w:ascii="Times New Roman" w:cs="Times New Roman" w:eastAsia="Times New Roman" w:hAnsi="Times New Roman"/>
          <w:sz w:val="24"/>
          <w:szCs w:val="24"/>
          <w:rtl w:val="0"/>
        </w:rPr>
        <w:t xml:space="preserve"> 24241808;</w:t>
      </w:r>
    </w:p>
    <w:p w:rsidR="00000000" w:rsidDel="00000000" w:rsidP="00000000" w:rsidRDefault="00000000" w:rsidRPr="00000000" w14:paraId="0000000C">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Категорія замовника:</w:t>
      </w:r>
      <w:r w:rsidDel="00000000" w:rsidR="00000000" w:rsidRPr="00000000">
        <w:rPr>
          <w:rFonts w:ascii="Times New Roman" w:cs="Times New Roman" w:eastAsia="Times New Roman" w:hAnsi="Times New Roman"/>
          <w:sz w:val="24"/>
          <w:szCs w:val="24"/>
          <w:rtl w:val="0"/>
        </w:rPr>
        <w:t xml:space="preserve"> Юридична особа, яка забезпечує потреби держави або територіальної громади;</w:t>
      </w:r>
    </w:p>
    <w:p w:rsidR="00000000" w:rsidDel="00000000" w:rsidP="00000000" w:rsidRDefault="00000000" w:rsidRPr="00000000" w14:paraId="0000000D">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Послуги з благоустрою населених пунктів - послуги з заміни піску в пісочницях   (ДК 021:2015: 45110000-1 - Руйнування та знесення будівель і земляні роботи (ДК 021:2015: 45112723-9 - Благоустрій ігрових майданчиків)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Кількість, місце та строк поставки товарів, виконання робіт чи надання послуг:</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240" w:lineRule="auto"/>
        <w:ind w:left="425.19685039370086"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відповідно до Додатку 2 ч.ІІ тендерної документації “ІІ. Місце розташування пісочниць (адреси)</w:t>
      </w:r>
    </w:p>
    <w:p w:rsidR="00000000" w:rsidDel="00000000" w:rsidP="00000000" w:rsidRDefault="00000000" w:rsidRPr="00000000" w14:paraId="00000010">
      <w:pPr>
        <w:spacing w:after="240" w:before="240" w:line="240" w:lineRule="auto"/>
        <w:ind w:left="425.196850393700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послуга; </w:t>
      </w:r>
    </w:p>
    <w:p w:rsidR="00000000" w:rsidDel="00000000" w:rsidP="00000000" w:rsidRDefault="00000000" w:rsidRPr="00000000" w14:paraId="00000011">
      <w:pPr>
        <w:spacing w:after="240" w:before="240" w:line="240" w:lineRule="auto"/>
        <w:ind w:left="425.196850393700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w:t>
      </w:r>
      <w:r w:rsidDel="00000000" w:rsidR="00000000" w:rsidRPr="00000000">
        <w:rPr>
          <w:rFonts w:ascii="Times New Roman" w:cs="Times New Roman" w:eastAsia="Times New Roman" w:hAnsi="Times New Roman"/>
          <w:sz w:val="24"/>
          <w:szCs w:val="24"/>
          <w:highlight w:val="white"/>
          <w:rtl w:val="0"/>
        </w:rPr>
        <w:t xml:space="preserve">10.12.2025</w:t>
      </w:r>
      <w:r w:rsidDel="00000000" w:rsidR="00000000" w:rsidRPr="00000000">
        <w:rPr>
          <w:rFonts w:ascii="Times New Roman" w:cs="Times New Roman" w:eastAsia="Times New Roman" w:hAnsi="Times New Roman"/>
          <w:sz w:val="24"/>
          <w:szCs w:val="24"/>
          <w:rtl w:val="0"/>
        </w:rPr>
        <w:t xml:space="preserve"> року;</w:t>
      </w:r>
    </w:p>
    <w:p w:rsidR="00000000" w:rsidDel="00000000" w:rsidP="00000000" w:rsidRDefault="00000000" w:rsidRPr="00000000" w14:paraId="00000012">
      <w:pPr>
        <w:spacing w:after="240" w:before="240" w:line="240" w:lineRule="auto"/>
        <w:ind w:left="425.19685039370086" w:hanging="36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7.  </w:t>
        <w:tab/>
      </w:r>
      <w:r w:rsidDel="00000000" w:rsidR="00000000" w:rsidRPr="00000000">
        <w:rPr>
          <w:rFonts w:ascii="Times New Roman" w:cs="Times New Roman" w:eastAsia="Times New Roman" w:hAnsi="Times New Roman"/>
          <w:b w:val="1"/>
          <w:i w:val="1"/>
          <w:sz w:val="24"/>
          <w:szCs w:val="24"/>
          <w:rtl w:val="0"/>
        </w:rPr>
        <w:t xml:space="preserve">Вид закупівлі:</w:t>
      </w:r>
      <w:r w:rsidDel="00000000" w:rsidR="00000000" w:rsidRPr="00000000">
        <w:rPr>
          <w:rFonts w:ascii="Times New Roman" w:cs="Times New Roman" w:eastAsia="Times New Roman" w:hAnsi="Times New Roman"/>
          <w:sz w:val="24"/>
          <w:szCs w:val="24"/>
          <w:rtl w:val="0"/>
        </w:rPr>
        <w:t xml:space="preserve"> Відкриті торги з особливостями. Ідентифікатор закупівлі: </w:t>
      </w:r>
      <w:r w:rsidDel="00000000" w:rsidR="00000000" w:rsidRPr="00000000">
        <w:rPr>
          <w:rFonts w:ascii="Times New Roman" w:cs="Times New Roman" w:eastAsia="Times New Roman" w:hAnsi="Times New Roman"/>
          <w:color w:val="333333"/>
          <w:sz w:val="24"/>
          <w:szCs w:val="24"/>
          <w:rtl w:val="0"/>
        </w:rPr>
        <w:t xml:space="preserve">UA-2025-04-11-012035-a</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13">
      <w:pP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Обґрунтування технічних та якісних характеристик предмета закупівлі:</w:t>
      </w:r>
    </w:p>
    <w:p w:rsidR="00000000" w:rsidDel="00000000" w:rsidP="00000000" w:rsidRDefault="00000000" w:rsidRPr="00000000" w14:paraId="00000014">
      <w:pPr>
        <w:spacing w:after="240" w:before="240" w:line="27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Закупівля Послуги з благоустрою населених пунктів - послуги з заміни піску в пісочницях   (ДК 021:2015: 45110000-1 - Руйнування та знесення будівель і земляні роботи (ДК 021:2015: 45112723-9 - Благоустрій ігрових майданчиків) проводиться для потреб Замовника, місце надання послуг: </w:t>
      </w:r>
      <w:r w:rsidDel="00000000" w:rsidR="00000000" w:rsidRPr="00000000">
        <w:rPr>
          <w:rFonts w:ascii="Times New Roman" w:cs="Times New Roman" w:eastAsia="Times New Roman" w:hAnsi="Times New Roman"/>
          <w:sz w:val="24"/>
          <w:szCs w:val="24"/>
          <w:highlight w:val="white"/>
          <w:rtl w:val="0"/>
        </w:rPr>
        <w:t xml:space="preserve">відповідно до Додатку 2 ч.ІІ тендерної документації “ІІ. Місце розташування пісочниць (адреси). </w:t>
      </w:r>
    </w:p>
    <w:p w:rsidR="00000000" w:rsidDel="00000000" w:rsidP="00000000" w:rsidRDefault="00000000" w:rsidRPr="00000000" w14:paraId="00000015">
      <w:pPr>
        <w:spacing w:after="240" w:before="240" w:line="276"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 Запланований обсяг 1 послуга. Очікувана вартість </w:t>
      </w:r>
      <w:r w:rsidDel="00000000" w:rsidR="00000000" w:rsidRPr="00000000">
        <w:rPr>
          <w:rFonts w:ascii="Times New Roman" w:cs="Times New Roman" w:eastAsia="Times New Roman" w:hAnsi="Times New Roman"/>
          <w:sz w:val="24"/>
          <w:szCs w:val="24"/>
          <w:highlight w:val="white"/>
          <w:rtl w:val="0"/>
        </w:rPr>
        <w:t xml:space="preserve">499910,00 грн. (Чотириста  дев'яносто дев'ять тисяч дев'ятсот десять грн. 00 коп.) з ПДВ. К</w:t>
      </w:r>
      <w:r w:rsidDel="00000000" w:rsidR="00000000" w:rsidRPr="00000000">
        <w:rPr>
          <w:rFonts w:ascii="Times New Roman" w:cs="Times New Roman" w:eastAsia="Times New Roman" w:hAnsi="Times New Roman"/>
          <w:sz w:val="24"/>
          <w:szCs w:val="24"/>
          <w:rtl w:val="0"/>
        </w:rPr>
        <w:t xml:space="preserve">інцевий строк надання послуг: до </w:t>
      </w:r>
      <w:r w:rsidDel="00000000" w:rsidR="00000000" w:rsidRPr="00000000">
        <w:rPr>
          <w:rFonts w:ascii="Times New Roman" w:cs="Times New Roman" w:eastAsia="Times New Roman" w:hAnsi="Times New Roman"/>
          <w:sz w:val="24"/>
          <w:szCs w:val="24"/>
          <w:highlight w:val="white"/>
          <w:rtl w:val="0"/>
        </w:rPr>
        <w:t xml:space="preserve">10.12.2025 </w:t>
      </w:r>
      <w:r w:rsidDel="00000000" w:rsidR="00000000" w:rsidRPr="00000000">
        <w:rPr>
          <w:rFonts w:ascii="Times New Roman" w:cs="Times New Roman" w:eastAsia="Times New Roman" w:hAnsi="Times New Roman"/>
          <w:sz w:val="24"/>
          <w:szCs w:val="24"/>
          <w:rtl w:val="0"/>
        </w:rPr>
        <w:t xml:space="preserve">року. Вимоги до предмета закупівлі (технічні, якісні та кількісні характеристики) зазначено в Додатку 2 тендерної документації. Ідентифікатор закупівлі </w:t>
      </w:r>
      <w:r w:rsidDel="00000000" w:rsidR="00000000" w:rsidRPr="00000000">
        <w:rPr>
          <w:rFonts w:ascii="Times New Roman" w:cs="Times New Roman" w:eastAsia="Times New Roman" w:hAnsi="Times New Roman"/>
          <w:color w:val="333333"/>
          <w:sz w:val="24"/>
          <w:szCs w:val="24"/>
          <w:rtl w:val="0"/>
        </w:rPr>
        <w:t xml:space="preserve">UA-2025-04-11-012035-a</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16">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Обґрунтування розміру бюджетного призначення:</w:t>
      </w:r>
    </w:p>
    <w:p w:rsidR="00000000" w:rsidDel="00000000" w:rsidP="00000000" w:rsidRDefault="00000000" w:rsidRPr="00000000" w14:paraId="00000017">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w:t>
      </w:r>
      <w:r w:rsidDel="00000000" w:rsidR="00000000" w:rsidRPr="00000000">
        <w:rPr>
          <w:rFonts w:ascii="Times New Roman" w:cs="Times New Roman" w:eastAsia="Times New Roman" w:hAnsi="Times New Roman"/>
          <w:sz w:val="24"/>
          <w:szCs w:val="24"/>
          <w:highlight w:val="white"/>
          <w:rtl w:val="0"/>
        </w:rPr>
        <w:t xml:space="preserve">льної громади на 2025 рік, затвердженого рішенням Дніпровської міської ради від 04.12.2024</w:t>
      </w:r>
      <w:r w:rsidDel="00000000" w:rsidR="00000000" w:rsidRPr="00000000">
        <w:rPr>
          <w:rFonts w:ascii="Times New Roman" w:cs="Times New Roman" w:eastAsia="Times New Roman" w:hAnsi="Times New Roman"/>
          <w:sz w:val="24"/>
          <w:szCs w:val="24"/>
          <w:rtl w:val="0"/>
        </w:rPr>
        <w:t xml:space="preserve"> року № </w:t>
      </w:r>
      <w:r w:rsidDel="00000000" w:rsidR="00000000" w:rsidRPr="00000000">
        <w:rPr>
          <w:rFonts w:ascii="Times New Roman" w:cs="Times New Roman" w:eastAsia="Times New Roman" w:hAnsi="Times New Roman"/>
          <w:sz w:val="24"/>
          <w:szCs w:val="24"/>
          <w:highlight w:val="white"/>
          <w:rtl w:val="0"/>
        </w:rPr>
        <w:t xml:space="preserve">2/59 «Про бюджет Дніпровської міської територіальної громади на 2025 рік» (код</w:t>
      </w:r>
      <w:r w:rsidDel="00000000" w:rsidR="00000000" w:rsidRPr="00000000">
        <w:rPr>
          <w:rFonts w:ascii="Times New Roman" w:cs="Times New Roman" w:eastAsia="Times New Roman" w:hAnsi="Times New Roman"/>
          <w:sz w:val="24"/>
          <w:szCs w:val="24"/>
          <w:rtl w:val="0"/>
        </w:rPr>
        <w:t xml:space="preserve"> бюджету 0457600000) зі змінами.</w:t>
      </w:r>
    </w:p>
    <w:p w:rsidR="00000000" w:rsidDel="00000000" w:rsidP="00000000" w:rsidRDefault="00000000" w:rsidRPr="00000000" w14:paraId="00000018">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Обґрунтування очікуваної вартості предмета закупівлі:</w:t>
      </w:r>
    </w:p>
    <w:p w:rsidR="00000000" w:rsidDel="00000000" w:rsidP="00000000" w:rsidRDefault="00000000" w:rsidRPr="00000000" w14:paraId="00000019">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закупівель замовника аналогічних/ідентичних товарів/послуг, ціни відповідних закупівель минулих періодів, інформація про які міститься в електронній системі закупівель Prozorro з урахуванням індексу інфляції, які приведені до єдиних умов.</w:t>
      </w:r>
    </w:p>
    <w:p w:rsidR="00000000" w:rsidDel="00000000" w:rsidP="00000000" w:rsidRDefault="00000000" w:rsidRPr="00000000" w14:paraId="0000001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визначення очікуваної вартості закупівлі відповідно положень Примірної методики визначення очікуваної вартості предмета закупівлі, затвердженої наказом Уповноваженого органу від 18.02.2020 р №275,  методом запиту цінових пропозицій було отримано три комерційні пропозиції від потенційних учасників:</w:t>
      </w:r>
    </w:p>
    <w:p w:rsidR="00000000" w:rsidDel="00000000" w:rsidP="00000000" w:rsidRDefault="00000000" w:rsidRPr="00000000" w14:paraId="0000001B">
      <w:pPr>
        <w:spacing w:after="0" w:line="24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ТОВ “ПАРКБУД-78”- 500020,00  грн</w:t>
      </w:r>
    </w:p>
    <w:p w:rsidR="00000000" w:rsidDel="00000000" w:rsidP="00000000" w:rsidRDefault="00000000" w:rsidRPr="00000000" w14:paraId="0000001C">
      <w:pPr>
        <w:spacing w:after="0" w:line="24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ТОВ”МОНОЛІТ-ДАП”- 499982,00 грн </w:t>
      </w:r>
    </w:p>
    <w:p w:rsidR="00000000" w:rsidDel="00000000" w:rsidP="00000000" w:rsidRDefault="00000000" w:rsidRPr="00000000" w14:paraId="0000001D">
      <w:pPr>
        <w:spacing w:after="0" w:line="24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ТОВ “БЛАГОУСТРІЙ-2018”- 499730,17 грн</w:t>
      </w:r>
    </w:p>
    <w:p w:rsidR="00000000" w:rsidDel="00000000" w:rsidP="00000000" w:rsidRDefault="00000000" w:rsidRPr="00000000" w14:paraId="0000001E">
      <w:pPr>
        <w:widowControl w:val="0"/>
        <w:spacing w:after="0" w:line="293.00000000000006" w:lineRule="auto"/>
        <w:ind w:firstLine="5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Загальна очікувана вартість закупівлі є середньоаріфметичною величиною та складає</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highlight w:val="white"/>
          <w:rtl w:val="0"/>
        </w:rPr>
        <w:t xml:space="preserve">499910,00 грн. (Чотириста  дев'яносто дев'ять тисяч дев'ятсот десять грн. 00 коп.) з ПДВ, </w:t>
      </w:r>
      <w:r w:rsidDel="00000000" w:rsidR="00000000" w:rsidRPr="00000000">
        <w:rPr>
          <w:rFonts w:ascii="Times New Roman" w:cs="Times New Roman" w:eastAsia="Times New Roman" w:hAnsi="Times New Roman"/>
          <w:sz w:val="24"/>
          <w:szCs w:val="24"/>
          <w:rtl w:val="0"/>
        </w:rPr>
        <w:t xml:space="preserve">тобто до цієї закупівлі застосовуються вищезазначені норми Закону та Особливостей</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sectPr>
      <w:pgSz w:h="15840" w:w="12240" w:orient="portrait"/>
      <w:pgMar w:bottom="993"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a" w:default="1">
    <w:name w:val="Normal"/>
    <w:qFormat w:val="1"/>
  </w:style>
  <w:style w:type="paragraph" w:styleId="1">
    <w:name w:val="heading 1"/>
    <w:basedOn w:val="a"/>
    <w:next w:val="a"/>
    <w:link w:val="10"/>
    <w:uiPriority w:val="9"/>
    <w:qFormat w:val="1"/>
    <w:rsid w:val="00730B10"/>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0"/>
    <w:uiPriority w:val="9"/>
    <w:semiHidden w:val="1"/>
    <w:unhideWhenUsed w:val="1"/>
    <w:qFormat w:val="1"/>
    <w:rsid w:val="00730B10"/>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0"/>
    <w:uiPriority w:val="9"/>
    <w:semiHidden w:val="1"/>
    <w:unhideWhenUsed w:val="1"/>
    <w:qFormat w:val="1"/>
    <w:rsid w:val="00730B10"/>
    <w:pPr>
      <w:keepNext w:val="1"/>
      <w:keepLines w:val="1"/>
      <w:spacing w:after="80" w:before="160"/>
      <w:outlineLvl w:val="2"/>
    </w:pPr>
    <w:rPr>
      <w:rFonts w:cstheme="majorBidi" w:eastAsiaTheme="majorEastAsia"/>
      <w:color w:val="2f5496" w:themeColor="accent1" w:themeShade="0000BF"/>
      <w:sz w:val="28"/>
      <w:szCs w:val="28"/>
    </w:rPr>
  </w:style>
  <w:style w:type="paragraph" w:styleId="4">
    <w:name w:val="heading 4"/>
    <w:basedOn w:val="a"/>
    <w:next w:val="a"/>
    <w:link w:val="40"/>
    <w:uiPriority w:val="9"/>
    <w:semiHidden w:val="1"/>
    <w:unhideWhenUsed w:val="1"/>
    <w:qFormat w:val="1"/>
    <w:rsid w:val="00730B10"/>
    <w:pPr>
      <w:keepNext w:val="1"/>
      <w:keepLines w:val="1"/>
      <w:spacing w:after="40" w:before="80"/>
      <w:outlineLvl w:val="3"/>
    </w:pPr>
    <w:rPr>
      <w:rFonts w:cstheme="majorBidi" w:eastAsiaTheme="majorEastAsia"/>
      <w:i w:val="1"/>
      <w:iCs w:val="1"/>
      <w:color w:val="2f5496" w:themeColor="accent1" w:themeShade="0000BF"/>
    </w:rPr>
  </w:style>
  <w:style w:type="paragraph" w:styleId="5">
    <w:name w:val="heading 5"/>
    <w:basedOn w:val="a"/>
    <w:next w:val="a"/>
    <w:link w:val="50"/>
    <w:uiPriority w:val="9"/>
    <w:semiHidden w:val="1"/>
    <w:unhideWhenUsed w:val="1"/>
    <w:qFormat w:val="1"/>
    <w:rsid w:val="00730B10"/>
    <w:pPr>
      <w:keepNext w:val="1"/>
      <w:keepLines w:val="1"/>
      <w:spacing w:after="40" w:before="80"/>
      <w:outlineLvl w:val="4"/>
    </w:pPr>
    <w:rPr>
      <w:rFonts w:cstheme="majorBidi" w:eastAsiaTheme="majorEastAsia"/>
      <w:color w:val="2f5496" w:themeColor="accent1" w:themeShade="0000BF"/>
    </w:rPr>
  </w:style>
  <w:style w:type="paragraph" w:styleId="6">
    <w:name w:val="heading 6"/>
    <w:basedOn w:val="a"/>
    <w:next w:val="a"/>
    <w:link w:val="60"/>
    <w:uiPriority w:val="9"/>
    <w:semiHidden w:val="1"/>
    <w:unhideWhenUsed w:val="1"/>
    <w:qFormat w:val="1"/>
    <w:rsid w:val="00730B10"/>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730B10"/>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730B10"/>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730B10"/>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730B10"/>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730B10"/>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730B10"/>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730B10"/>
    <w:rPr>
      <w:rFonts w:cstheme="majorBidi" w:eastAsiaTheme="majorEastAsia"/>
      <w:i w:val="1"/>
      <w:iCs w:val="1"/>
      <w:color w:val="2f5496" w:themeColor="accent1" w:themeShade="0000BF"/>
    </w:rPr>
  </w:style>
  <w:style w:type="character" w:styleId="50" w:customStyle="1">
    <w:name w:val="Заголовок 5 Знак"/>
    <w:basedOn w:val="a0"/>
    <w:link w:val="5"/>
    <w:uiPriority w:val="9"/>
    <w:semiHidden w:val="1"/>
    <w:rsid w:val="00730B10"/>
    <w:rPr>
      <w:rFonts w:cstheme="majorBidi" w:eastAsiaTheme="majorEastAsia"/>
      <w:color w:val="2f5496" w:themeColor="accent1" w:themeShade="0000BF"/>
    </w:rPr>
  </w:style>
  <w:style w:type="character" w:styleId="60" w:customStyle="1">
    <w:name w:val="Заголовок 6 Знак"/>
    <w:basedOn w:val="a0"/>
    <w:link w:val="6"/>
    <w:uiPriority w:val="9"/>
    <w:semiHidden w:val="1"/>
    <w:rsid w:val="00730B10"/>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730B10"/>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730B10"/>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730B10"/>
    <w:rPr>
      <w:rFonts w:cstheme="majorBidi" w:eastAsiaTheme="majorEastAsia"/>
      <w:color w:val="272727" w:themeColor="text1" w:themeTint="0000D8"/>
    </w:rPr>
  </w:style>
  <w:style w:type="paragraph" w:styleId="a3">
    <w:name w:val="Title"/>
    <w:basedOn w:val="a"/>
    <w:next w:val="a"/>
    <w:link w:val="a4"/>
    <w:uiPriority w:val="10"/>
    <w:qFormat w:val="1"/>
    <w:rsid w:val="00730B10"/>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730B10"/>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730B10"/>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730B10"/>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730B10"/>
    <w:pPr>
      <w:spacing w:before="160"/>
      <w:jc w:val="center"/>
    </w:pPr>
    <w:rPr>
      <w:i w:val="1"/>
      <w:iCs w:val="1"/>
      <w:color w:val="404040" w:themeColor="text1" w:themeTint="0000BF"/>
    </w:rPr>
  </w:style>
  <w:style w:type="character" w:styleId="22" w:customStyle="1">
    <w:name w:val="Цитата 2 Знак"/>
    <w:basedOn w:val="a0"/>
    <w:link w:val="21"/>
    <w:uiPriority w:val="29"/>
    <w:rsid w:val="00730B10"/>
    <w:rPr>
      <w:i w:val="1"/>
      <w:iCs w:val="1"/>
      <w:color w:val="404040" w:themeColor="text1" w:themeTint="0000BF"/>
    </w:rPr>
  </w:style>
  <w:style w:type="paragraph" w:styleId="a7">
    <w:name w:val="List Paragraph"/>
    <w:basedOn w:val="a"/>
    <w:uiPriority w:val="34"/>
    <w:qFormat w:val="1"/>
    <w:rsid w:val="00730B10"/>
    <w:pPr>
      <w:ind w:left="720"/>
      <w:contextualSpacing w:val="1"/>
    </w:pPr>
  </w:style>
  <w:style w:type="character" w:styleId="a8">
    <w:name w:val="Intense Emphasis"/>
    <w:basedOn w:val="a0"/>
    <w:uiPriority w:val="21"/>
    <w:qFormat w:val="1"/>
    <w:rsid w:val="00730B10"/>
    <w:rPr>
      <w:i w:val="1"/>
      <w:iCs w:val="1"/>
      <w:color w:val="2f5496" w:themeColor="accent1" w:themeShade="0000BF"/>
    </w:rPr>
  </w:style>
  <w:style w:type="paragraph" w:styleId="a9">
    <w:name w:val="Intense Quote"/>
    <w:basedOn w:val="a"/>
    <w:next w:val="a"/>
    <w:link w:val="aa"/>
    <w:uiPriority w:val="30"/>
    <w:qFormat w:val="1"/>
    <w:rsid w:val="00730B1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a" w:customStyle="1">
    <w:name w:val="Выделенная цитата Знак"/>
    <w:basedOn w:val="a0"/>
    <w:link w:val="a9"/>
    <w:uiPriority w:val="30"/>
    <w:rsid w:val="00730B10"/>
    <w:rPr>
      <w:i w:val="1"/>
      <w:iCs w:val="1"/>
      <w:color w:val="2f5496" w:themeColor="accent1" w:themeShade="0000BF"/>
    </w:rPr>
  </w:style>
  <w:style w:type="character" w:styleId="ab">
    <w:name w:val="Intense Reference"/>
    <w:basedOn w:val="a0"/>
    <w:uiPriority w:val="32"/>
    <w:qFormat w:val="1"/>
    <w:rsid w:val="00730B10"/>
    <w:rPr>
      <w:b w:val="1"/>
      <w:bCs w:val="1"/>
      <w:smallCaps w:val="1"/>
      <w:color w:val="2f5496" w:themeColor="accent1" w:themeShade="0000BF"/>
      <w:spacing w:val="5"/>
    </w:rPr>
  </w:style>
  <w:style w:type="character" w:styleId="ac">
    <w:name w:val="Hyperlink"/>
    <w:basedOn w:val="a0"/>
    <w:uiPriority w:val="99"/>
    <w:unhideWhenUsed w:val="1"/>
    <w:rsid w:val="009F389E"/>
    <w:rPr>
      <w:color w:val="0563c1" w:themeColor="hyperlink"/>
      <w:u w:val="single"/>
    </w:rPr>
  </w:style>
  <w:style w:type="character" w:styleId="ad">
    <w:name w:val="Unresolved Mention"/>
    <w:basedOn w:val="a0"/>
    <w:uiPriority w:val="99"/>
    <w:semiHidden w:val="1"/>
    <w:unhideWhenUsed w:val="1"/>
    <w:rsid w:val="009F389E"/>
    <w:rPr>
      <w:color w:val="605e5c"/>
      <w:shd w:color="auto" w:fill="e1dfdd" w:val="clear"/>
    </w:rPr>
  </w:style>
  <w:style w:type="character" w:styleId="ae">
    <w:name w:val="FollowedHyperlink"/>
    <w:basedOn w:val="a0"/>
    <w:uiPriority w:val="99"/>
    <w:semiHidden w:val="1"/>
    <w:unhideWhenUsed w:val="1"/>
    <w:rsid w:val="007C4ECE"/>
    <w:rPr>
      <w:color w:val="1155cc"/>
      <w:u w:val="single"/>
    </w:rPr>
  </w:style>
  <w:style w:type="paragraph" w:styleId="msonormal0" w:customStyle="1">
    <w:name w:val="msonormal"/>
    <w:basedOn w:val="a"/>
    <w:rsid w:val="007C4ECE"/>
    <w:pPr>
      <w:spacing w:after="100" w:afterAutospacing="1" w:before="100" w:beforeAutospacing="1" w:line="240" w:lineRule="auto"/>
    </w:pPr>
    <w:rPr>
      <w:rFonts w:ascii="Times New Roman" w:cs="Times New Roman" w:eastAsia="Times New Roman" w:hAnsi="Times New Roman"/>
      <w:kern w:val="0"/>
      <w:sz w:val="24"/>
      <w:szCs w:val="24"/>
      <w:lang w:eastAsia="ru-RU" w:val="ru-RU"/>
    </w:rPr>
  </w:style>
  <w:style w:type="paragraph" w:styleId="xl63" w:customStyle="1">
    <w:name w:val="xl63"/>
    <w:basedOn w:val="a"/>
    <w:rsid w:val="007C4ECE"/>
    <w:pPr>
      <w:spacing w:after="100" w:afterAutospacing="1" w:before="100" w:beforeAutospacing="1" w:line="240" w:lineRule="auto"/>
    </w:pPr>
    <w:rPr>
      <w:rFonts w:ascii="Times New Roman" w:cs="Times New Roman" w:eastAsia="Times New Roman" w:hAnsi="Times New Roman"/>
      <w:kern w:val="0"/>
      <w:sz w:val="24"/>
      <w:szCs w:val="24"/>
      <w:lang w:eastAsia="ru-RU" w:val="ru-RU"/>
    </w:rPr>
  </w:style>
  <w:style w:type="paragraph" w:styleId="xl64" w:customStyle="1">
    <w:name w:val="xl64"/>
    <w:basedOn w:val="a"/>
    <w:rsid w:val="007C4ECE"/>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jc w:val="center"/>
      <w:textAlignment w:val="center"/>
    </w:pPr>
    <w:rPr>
      <w:rFonts w:ascii="Times New Roman" w:cs="Times New Roman" w:eastAsia="Times New Roman" w:hAnsi="Times New Roman"/>
      <w:color w:val="000000"/>
      <w:kern w:val="0"/>
      <w:sz w:val="24"/>
      <w:szCs w:val="24"/>
      <w:lang w:eastAsia="ru-RU" w:val="ru-RU"/>
    </w:rPr>
  </w:style>
  <w:style w:type="paragraph" w:styleId="xl65" w:customStyle="1">
    <w:name w:val="xl65"/>
    <w:basedOn w:val="a"/>
    <w:rsid w:val="007C4ECE"/>
    <w:pPr>
      <w:spacing w:after="100" w:afterAutospacing="1" w:before="100" w:beforeAutospacing="1" w:line="240" w:lineRule="auto"/>
      <w:jc w:val="center"/>
    </w:pPr>
    <w:rPr>
      <w:rFonts w:ascii="Times New Roman" w:cs="Times New Roman" w:eastAsia="Times New Roman" w:hAnsi="Times New Roman"/>
      <w:kern w:val="0"/>
      <w:sz w:val="24"/>
      <w:szCs w:val="24"/>
      <w:lang w:eastAsia="ru-RU" w:val="ru-RU"/>
    </w:rPr>
  </w:style>
  <w:style w:type="paragraph" w:styleId="xl66" w:customStyle="1">
    <w:name w:val="xl66"/>
    <w:basedOn w:val="a"/>
    <w:rsid w:val="007C4ECE"/>
    <w:pPr>
      <w:spacing w:after="100" w:afterAutospacing="1" w:before="100" w:beforeAutospacing="1" w:line="240" w:lineRule="auto"/>
    </w:pPr>
    <w:rPr>
      <w:rFonts w:ascii="Times New Roman" w:cs="Times New Roman" w:eastAsia="Times New Roman" w:hAnsi="Times New Roman"/>
      <w:kern w:val="0"/>
      <w:sz w:val="28"/>
      <w:szCs w:val="28"/>
      <w:lang w:eastAsia="ru-RU" w:val="ru-RU"/>
    </w:rPr>
  </w:style>
  <w:style w:type="paragraph" w:styleId="xl67" w:customStyle="1">
    <w:name w:val="xl67"/>
    <w:basedOn w:val="a"/>
    <w:rsid w:val="007C4ECE"/>
    <w:pPr>
      <w:spacing w:after="100" w:afterAutospacing="1" w:before="100" w:beforeAutospacing="1" w:line="240" w:lineRule="auto"/>
    </w:pPr>
    <w:rPr>
      <w:rFonts w:ascii="Times New Roman" w:cs="Times New Roman" w:eastAsia="Times New Roman" w:hAnsi="Times New Roman"/>
      <w:kern w:val="0"/>
      <w:sz w:val="24"/>
      <w:szCs w:val="24"/>
      <w:lang w:eastAsia="ru-RU" w:val="ru-RU"/>
    </w:rPr>
  </w:style>
  <w:style w:type="paragraph" w:styleId="xl68" w:customStyle="1">
    <w:name w:val="xl68"/>
    <w:basedOn w:val="a"/>
    <w:rsid w:val="007C4ECE"/>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center"/>
    </w:pPr>
    <w:rPr>
      <w:rFonts w:ascii="Times New Roman" w:cs="Times New Roman" w:eastAsia="Times New Roman" w:hAnsi="Times New Roman"/>
      <w:color w:val="000000"/>
      <w:kern w:val="0"/>
      <w:sz w:val="24"/>
      <w:szCs w:val="24"/>
      <w:lang w:eastAsia="ru-RU" w:val="ru-RU"/>
    </w:rPr>
  </w:style>
  <w:style w:type="paragraph" w:styleId="xl69" w:customStyle="1">
    <w:name w:val="xl69"/>
    <w:basedOn w:val="a"/>
    <w:rsid w:val="007C4ECE"/>
    <w:pPr>
      <w:pBdr>
        <w:top w:color="000000" w:space="0" w:sz="4" w:val="single"/>
        <w:bottom w:color="000000" w:space="0" w:sz="4" w:val="single"/>
        <w:right w:color="000000" w:space="0" w:sz="4" w:val="single"/>
      </w:pBdr>
      <w:spacing w:after="100" w:afterAutospacing="1" w:before="100" w:beforeAutospacing="1" w:line="240" w:lineRule="auto"/>
      <w:jc w:val="center"/>
      <w:textAlignment w:val="center"/>
    </w:pPr>
    <w:rPr>
      <w:rFonts w:ascii="Times New Roman" w:cs="Times New Roman" w:eastAsia="Times New Roman" w:hAnsi="Times New Roman"/>
      <w:color w:val="000000"/>
      <w:kern w:val="0"/>
      <w:sz w:val="24"/>
      <w:szCs w:val="24"/>
      <w:lang w:eastAsia="ru-RU" w:val="ru-RU"/>
    </w:rPr>
  </w:style>
  <w:style w:type="paragraph" w:styleId="xl70" w:customStyle="1">
    <w:name w:val="xl70"/>
    <w:basedOn w:val="a"/>
    <w:rsid w:val="007C4ECE"/>
    <w:pPr>
      <w:pBdr>
        <w:top w:color="000000" w:space="0" w:sz="4" w:val="single"/>
        <w:bottom w:color="000000" w:space="0" w:sz="4" w:val="single"/>
        <w:right w:color="000000" w:space="0" w:sz="4" w:val="single"/>
      </w:pBdr>
      <w:spacing w:after="100" w:afterAutospacing="1" w:before="100" w:beforeAutospacing="1" w:line="240" w:lineRule="auto"/>
      <w:jc w:val="center"/>
      <w:textAlignment w:val="center"/>
    </w:pPr>
    <w:rPr>
      <w:rFonts w:ascii="Times New Roman" w:cs="Times New Roman" w:eastAsia="Times New Roman" w:hAnsi="Times New Roman"/>
      <w:color w:val="000000"/>
      <w:kern w:val="0"/>
      <w:sz w:val="24"/>
      <w:szCs w:val="24"/>
      <w:lang w:eastAsia="ru-RU" w:val="ru-RU"/>
    </w:rPr>
  </w:style>
  <w:style w:type="paragraph" w:styleId="xl71" w:customStyle="1">
    <w:name w:val="xl71"/>
    <w:basedOn w:val="a"/>
    <w:rsid w:val="007C4ECE"/>
    <w:pPr>
      <w:pBdr>
        <w:top w:color="auto" w:space="0" w:sz="4" w:val="single"/>
        <w:left w:color="auto" w:space="0" w:sz="4" w:val="single"/>
        <w:bottom w:color="auto" w:space="0" w:sz="4" w:val="single"/>
        <w:right w:color="auto" w:space="0" w:sz="4" w:val="single"/>
      </w:pBdr>
      <w:spacing w:after="100" w:afterAutospacing="1" w:before="100" w:beforeAutospacing="1" w:line="240" w:lineRule="auto"/>
      <w:jc w:val="center"/>
    </w:pPr>
    <w:rPr>
      <w:rFonts w:ascii="Times New Roman" w:cs="Times New Roman" w:eastAsia="Times New Roman" w:hAnsi="Times New Roman"/>
      <w:kern w:val="0"/>
      <w:sz w:val="24"/>
      <w:szCs w:val="24"/>
      <w:lang w:eastAsia="ru-RU" w:val="ru-RU"/>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MG0jMt5Yh7lz2Tmwh/nVkJDGTw==">CgMxLjA4AHIhMWd6c0FIOGVhaTNCd0J2azNhY0xIZURDM0xrWmdGbUMw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2025-04-10T07:10:00Z</dcterms:created>
  <dc:creator>ДП Салют</dc:creator>
</cp:coreProperties>
</file>