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CF" w:rsidRDefault="007275CF" w:rsidP="007275CF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  <w:t>Додаток</w:t>
      </w:r>
      <w:r>
        <w:rPr>
          <w:bCs/>
          <w:bdr w:val="none" w:sz="0" w:space="0" w:color="auto" w:frame="1"/>
        </w:rPr>
        <w:t xml:space="preserve"> № 1</w:t>
      </w:r>
    </w:p>
    <w:p w:rsidR="007275CF" w:rsidRDefault="007275CF" w:rsidP="007275CF">
      <w:pPr>
        <w:shd w:val="clear" w:color="auto" w:fill="FFFFFF"/>
        <w:ind w:left="6372" w:firstLine="708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>до аналізу</w:t>
      </w:r>
    </w:p>
    <w:p w:rsidR="007275CF" w:rsidRDefault="007275CF" w:rsidP="007275CF">
      <w:pPr>
        <w:shd w:val="clear" w:color="auto" w:fill="FFFFFF"/>
        <w:ind w:left="6372" w:firstLine="708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>регуляторного впливу</w:t>
      </w:r>
    </w:p>
    <w:p w:rsidR="007275CF" w:rsidRPr="00813178" w:rsidRDefault="007275CF" w:rsidP="007275CF">
      <w:pPr>
        <w:shd w:val="clear" w:color="auto" w:fill="FFFFFF"/>
        <w:ind w:left="6372" w:firstLine="708"/>
        <w:jc w:val="both"/>
        <w:textAlignment w:val="baseline"/>
        <w:rPr>
          <w:bCs/>
          <w:bdr w:val="none" w:sz="0" w:space="0" w:color="auto" w:frame="1"/>
        </w:rPr>
      </w:pPr>
    </w:p>
    <w:p w:rsidR="007275CF" w:rsidRPr="0005725F" w:rsidRDefault="007275CF" w:rsidP="007275CF">
      <w:pPr>
        <w:shd w:val="clear" w:color="auto" w:fill="FFFFFF"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7275CF" w:rsidRPr="001F1AFB" w:rsidRDefault="007275CF" w:rsidP="007275CF">
      <w:pPr>
        <w:shd w:val="clear" w:color="auto" w:fill="FFFFFF"/>
        <w:jc w:val="center"/>
        <w:textAlignment w:val="baseline"/>
        <w:rPr>
          <w:b/>
        </w:rPr>
      </w:pPr>
      <w:r w:rsidRPr="001F1AFB">
        <w:rPr>
          <w:b/>
        </w:rPr>
        <w:t>ТЕСТ малого підприємництва (М-Тест)</w:t>
      </w:r>
    </w:p>
    <w:p w:rsidR="007275CF" w:rsidRPr="0005725F" w:rsidRDefault="007275CF" w:rsidP="007275CF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7275CF" w:rsidRPr="001F1AFB" w:rsidRDefault="007275CF" w:rsidP="007275CF">
      <w:pPr>
        <w:ind w:firstLine="708"/>
        <w:jc w:val="both"/>
        <w:rPr>
          <w:b/>
        </w:rPr>
      </w:pPr>
      <w:r w:rsidRPr="001F1AFB">
        <w:rPr>
          <w:b/>
        </w:rPr>
        <w:t>1. Консультації з представниками мікро- та малого підприємництва щодо оцінки впливу регулювання</w:t>
      </w:r>
    </w:p>
    <w:p w:rsidR="007275CF" w:rsidRPr="00813178" w:rsidRDefault="007275CF" w:rsidP="007275CF">
      <w:pPr>
        <w:ind w:firstLine="708"/>
        <w:jc w:val="both"/>
        <w:rPr>
          <w:b/>
          <w:i/>
        </w:rPr>
      </w:pPr>
    </w:p>
    <w:p w:rsidR="007275CF" w:rsidRDefault="007275CF" w:rsidP="007275CF">
      <w:pPr>
        <w:ind w:firstLine="708"/>
        <w:jc w:val="both"/>
      </w:pPr>
      <w:r w:rsidRPr="00813178">
        <w:t xml:space="preserve">Консультації щодо визначення впливу запропонованого регулювання на суб’єктів малого підприємництва та детального переліку </w:t>
      </w:r>
      <w:r w:rsidRPr="00BE5F49">
        <w:t>процедур</w:t>
      </w:r>
      <w:r w:rsidRPr="00813178">
        <w:t>, виконання яких необхідне для здійснення регулювання, проведен</w:t>
      </w:r>
      <w:r>
        <w:t>о</w:t>
      </w:r>
      <w:r w:rsidRPr="00813178">
        <w:t xml:space="preserve"> </w:t>
      </w:r>
      <w:r>
        <w:t xml:space="preserve">під час робочої наради з </w:t>
      </w:r>
      <w:r w:rsidRPr="00813178">
        <w:rPr>
          <w:bCs/>
          <w:bdr w:val="none" w:sz="0" w:space="0" w:color="auto" w:frame="1"/>
        </w:rPr>
        <w:t xml:space="preserve">питань розробки </w:t>
      </w:r>
      <w:r>
        <w:rPr>
          <w:bCs/>
          <w:bdr w:val="none" w:sz="0" w:space="0" w:color="auto" w:frame="1"/>
        </w:rPr>
        <w:t xml:space="preserve">проекту рішення </w:t>
      </w:r>
      <w:r w:rsidRPr="00813178">
        <w:rPr>
          <w:bCs/>
          <w:iCs/>
          <w:color w:val="000000"/>
          <w:shd w:val="clear" w:color="auto" w:fill="FFFFFF"/>
        </w:rPr>
        <w:t>«</w:t>
      </w:r>
      <w:r w:rsidRPr="00055FD4">
        <w:rPr>
          <w:rStyle w:val="rvts15"/>
          <w:bCs/>
          <w:color w:val="000000"/>
        </w:rPr>
        <w:t>Про пайову участь замовників у розвитку інфраструктури міста Дніпра</w:t>
      </w:r>
      <w:r w:rsidRPr="00813178">
        <w:t xml:space="preserve">» та окремими суб’єктами малого бізнесу </w:t>
      </w:r>
      <w:r>
        <w:t xml:space="preserve">12.02.2018 </w:t>
      </w:r>
      <w:r w:rsidRPr="00813178">
        <w:t>й відображені в таблиці:</w:t>
      </w:r>
    </w:p>
    <w:p w:rsidR="007275CF" w:rsidRPr="00EA7B4C" w:rsidRDefault="007275CF" w:rsidP="007275CF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103"/>
        <w:gridCol w:w="1996"/>
        <w:gridCol w:w="4749"/>
      </w:tblGrid>
      <w:tr w:rsidR="007275CF" w:rsidRPr="00813178" w:rsidTr="007A2887">
        <w:tc>
          <w:tcPr>
            <w:tcW w:w="266" w:type="pct"/>
            <w:vAlign w:val="center"/>
          </w:tcPr>
          <w:p w:rsidR="007275CF" w:rsidRPr="00E116F8" w:rsidRDefault="007275CF" w:rsidP="007A2887">
            <w:pPr>
              <w:jc w:val="center"/>
            </w:pPr>
            <w:r w:rsidRPr="00E116F8">
              <w:t>№</w:t>
            </w:r>
          </w:p>
          <w:p w:rsidR="007275CF" w:rsidRPr="00E116F8" w:rsidRDefault="007275CF" w:rsidP="007A2887">
            <w:pPr>
              <w:jc w:val="center"/>
            </w:pPr>
            <w:r w:rsidRPr="00E116F8">
              <w:t>з/п</w:t>
            </w:r>
          </w:p>
        </w:tc>
        <w:tc>
          <w:tcPr>
            <w:tcW w:w="1125" w:type="pct"/>
            <w:vAlign w:val="center"/>
          </w:tcPr>
          <w:p w:rsidR="007275CF" w:rsidRPr="00E116F8" w:rsidRDefault="007275CF" w:rsidP="007A2887">
            <w:pPr>
              <w:jc w:val="center"/>
            </w:pPr>
            <w:r w:rsidRPr="00E116F8">
              <w:t>Вид консультації</w:t>
            </w:r>
          </w:p>
        </w:tc>
        <w:tc>
          <w:tcPr>
            <w:tcW w:w="1068" w:type="pct"/>
            <w:vAlign w:val="center"/>
          </w:tcPr>
          <w:p w:rsidR="007275CF" w:rsidRPr="00E116F8" w:rsidRDefault="007275CF" w:rsidP="007A2887">
            <w:pPr>
              <w:jc w:val="center"/>
            </w:pPr>
            <w:r w:rsidRPr="00E116F8">
              <w:t>Кількість учасників консультацій, осіб</w:t>
            </w:r>
          </w:p>
        </w:tc>
        <w:tc>
          <w:tcPr>
            <w:tcW w:w="2541" w:type="pct"/>
            <w:vAlign w:val="center"/>
          </w:tcPr>
          <w:p w:rsidR="007275CF" w:rsidRPr="00E116F8" w:rsidRDefault="007275CF" w:rsidP="007A2887">
            <w:pPr>
              <w:jc w:val="center"/>
            </w:pPr>
            <w:r w:rsidRPr="00E116F8">
              <w:t>Основні результати консультацій (опис)</w:t>
            </w:r>
          </w:p>
        </w:tc>
      </w:tr>
      <w:tr w:rsidR="007275CF" w:rsidRPr="00813178" w:rsidTr="007A2887">
        <w:trPr>
          <w:trHeight w:val="346"/>
        </w:trPr>
        <w:tc>
          <w:tcPr>
            <w:tcW w:w="266" w:type="pct"/>
          </w:tcPr>
          <w:p w:rsidR="007275CF" w:rsidRPr="00813178" w:rsidRDefault="007275CF" w:rsidP="007A2887">
            <w:pPr>
              <w:jc w:val="center"/>
              <w:rPr>
                <w:b/>
                <w:i/>
              </w:rPr>
            </w:pPr>
            <w:r w:rsidRPr="00813178">
              <w:t>1</w:t>
            </w:r>
          </w:p>
        </w:tc>
        <w:tc>
          <w:tcPr>
            <w:tcW w:w="1125" w:type="pct"/>
          </w:tcPr>
          <w:p w:rsidR="007275CF" w:rsidRPr="00813178" w:rsidRDefault="007275CF" w:rsidP="007A2887">
            <w:r>
              <w:t xml:space="preserve">Робоча нарада з </w:t>
            </w:r>
            <w:r w:rsidRPr="00813178">
              <w:t xml:space="preserve">питань розробки </w:t>
            </w:r>
            <w:r>
              <w:t xml:space="preserve">проекту </w:t>
            </w:r>
            <w:r>
              <w:rPr>
                <w:bCs/>
                <w:bdr w:val="none" w:sz="0" w:space="0" w:color="auto" w:frame="1"/>
              </w:rPr>
              <w:t xml:space="preserve">рішення міської ради </w:t>
            </w:r>
            <w:r w:rsidRPr="00813178">
              <w:rPr>
                <w:bCs/>
                <w:iCs/>
                <w:color w:val="000000"/>
                <w:shd w:val="clear" w:color="auto" w:fill="FFFFFF"/>
              </w:rPr>
              <w:t>«</w:t>
            </w:r>
            <w:r w:rsidRPr="00055FD4">
              <w:rPr>
                <w:rStyle w:val="rvts15"/>
                <w:bCs/>
                <w:color w:val="000000"/>
              </w:rPr>
              <w:t>Про пайову участь замовників у розвитку інфраструктури міста Дніпра</w:t>
            </w:r>
            <w:r w:rsidRPr="00813178">
              <w:t>»</w:t>
            </w:r>
            <w:r>
              <w:t xml:space="preserve"> з суб’єктами господарювання та їх представниками.</w:t>
            </w:r>
          </w:p>
        </w:tc>
        <w:tc>
          <w:tcPr>
            <w:tcW w:w="1068" w:type="pct"/>
          </w:tcPr>
          <w:p w:rsidR="007275CF" w:rsidRDefault="007275CF" w:rsidP="007A2887">
            <w:pPr>
              <w:jc w:val="center"/>
            </w:pPr>
            <w:r w:rsidRPr="000F6793">
              <w:t>6:</w:t>
            </w:r>
          </w:p>
          <w:p w:rsidR="007275CF" w:rsidRDefault="007275CF" w:rsidP="007A2887">
            <w:pPr>
              <w:jc w:val="center"/>
            </w:pPr>
            <w:r>
              <w:t>(2 - представника Департаменту;</w:t>
            </w:r>
          </w:p>
          <w:p w:rsidR="007275CF" w:rsidRDefault="007275CF" w:rsidP="007A2887">
            <w:pPr>
              <w:jc w:val="center"/>
            </w:pPr>
            <w:r>
              <w:t>3 – представника суб’єктів господарювання;</w:t>
            </w:r>
          </w:p>
          <w:p w:rsidR="007275CF" w:rsidRPr="00180564" w:rsidRDefault="007275CF" w:rsidP="007A2887">
            <w:pPr>
              <w:jc w:val="center"/>
            </w:pPr>
            <w:r>
              <w:t>1 – депутат міської ради)</w:t>
            </w:r>
          </w:p>
        </w:tc>
        <w:tc>
          <w:tcPr>
            <w:tcW w:w="2541" w:type="pct"/>
          </w:tcPr>
          <w:p w:rsidR="007275CF" w:rsidRDefault="007275CF" w:rsidP="007A2887">
            <w:pPr>
              <w:jc w:val="both"/>
            </w:pPr>
            <w:r>
              <w:t>В ході робочої зустрічі обговорено:</w:t>
            </w:r>
          </w:p>
          <w:p w:rsidR="007275CF" w:rsidRPr="00813178" w:rsidRDefault="007275CF" w:rsidP="007A2887">
            <w:pPr>
              <w:jc w:val="both"/>
              <w:rPr>
                <w:spacing w:val="-2"/>
              </w:rPr>
            </w:pPr>
            <w:r>
              <w:t xml:space="preserve">- </w:t>
            </w:r>
            <w:r w:rsidRPr="00813178">
              <w:t xml:space="preserve">пропозиції щодо розробки проекту </w:t>
            </w:r>
            <w:r w:rsidRPr="00813178">
              <w:rPr>
                <w:spacing w:val="-2"/>
              </w:rPr>
              <w:t xml:space="preserve">регуляторного </w:t>
            </w:r>
            <w:proofErr w:type="spellStart"/>
            <w:r w:rsidRPr="00813178">
              <w:rPr>
                <w:spacing w:val="-2"/>
              </w:rPr>
              <w:t>акта</w:t>
            </w:r>
            <w:proofErr w:type="spellEnd"/>
            <w:r w:rsidRPr="00813178">
              <w:rPr>
                <w:spacing w:val="-2"/>
              </w:rPr>
              <w:t xml:space="preserve"> – рішення  міської ради </w:t>
            </w:r>
            <w:r w:rsidRPr="00813178">
              <w:rPr>
                <w:bCs/>
                <w:iCs/>
                <w:shd w:val="clear" w:color="auto" w:fill="FFFFFF"/>
              </w:rPr>
              <w:t>«</w:t>
            </w:r>
            <w:r w:rsidRPr="00055FD4">
              <w:rPr>
                <w:rStyle w:val="rvts15"/>
                <w:bCs/>
                <w:color w:val="000000"/>
              </w:rPr>
              <w:t>Про пайову участь замовників у розвитку інфраструктури міста Дніпра</w:t>
            </w:r>
            <w:r w:rsidRPr="00813178">
              <w:rPr>
                <w:spacing w:val="-2"/>
              </w:rPr>
              <w:t>», аналізу його регуляторного впливу та базового відстеження;</w:t>
            </w:r>
            <w:r>
              <w:rPr>
                <w:spacing w:val="-2"/>
              </w:rPr>
              <w:t xml:space="preserve"> ( Протокол №1 від 12.02.2018 р.)    </w:t>
            </w:r>
          </w:p>
          <w:p w:rsidR="007275CF" w:rsidRPr="00813178" w:rsidRDefault="007275CF" w:rsidP="007A2887">
            <w:pPr>
              <w:jc w:val="both"/>
              <w:rPr>
                <w:b/>
                <w:i/>
                <w:color w:val="FF0000"/>
              </w:rPr>
            </w:pPr>
            <w:r>
              <w:rPr>
                <w:spacing w:val="-2"/>
              </w:rPr>
              <w:t>- Аналіз регуляторного впливу виконано у</w:t>
            </w:r>
            <w:r w:rsidRPr="00813178">
              <w:rPr>
                <w:spacing w:val="-2"/>
              </w:rPr>
              <w:t xml:space="preserve"> відповідності </w:t>
            </w:r>
            <w:r>
              <w:rPr>
                <w:spacing w:val="-2"/>
              </w:rPr>
              <w:t>до</w:t>
            </w:r>
            <w:r w:rsidRPr="00813178">
              <w:rPr>
                <w:spacing w:val="-2"/>
              </w:rPr>
              <w:t xml:space="preserve"> вимог Постанови Кабінету Міністрів України від 11.03.2004 року №308 «Про затвердження </w:t>
            </w:r>
            <w:proofErr w:type="spellStart"/>
            <w:r w:rsidRPr="00813178">
              <w:rPr>
                <w:spacing w:val="-2"/>
              </w:rPr>
              <w:t>методик</w:t>
            </w:r>
            <w:proofErr w:type="spellEnd"/>
            <w:r w:rsidRPr="00813178">
              <w:rPr>
                <w:spacing w:val="-2"/>
              </w:rPr>
              <w:t xml:space="preserve"> проведення аналізу впливу та відстеження резул</w:t>
            </w:r>
            <w:r>
              <w:rPr>
                <w:spacing w:val="-2"/>
              </w:rPr>
              <w:t xml:space="preserve">ьтативності регуляторного </w:t>
            </w:r>
            <w:proofErr w:type="spellStart"/>
            <w:r>
              <w:rPr>
                <w:spacing w:val="-2"/>
              </w:rPr>
              <w:t>акта</w:t>
            </w:r>
            <w:proofErr w:type="spellEnd"/>
            <w:r>
              <w:rPr>
                <w:spacing w:val="-2"/>
              </w:rPr>
              <w:t>».</w:t>
            </w:r>
            <w:r w:rsidRPr="00813178">
              <w:rPr>
                <w:spacing w:val="-2"/>
              </w:rPr>
              <w:t xml:space="preserve"> </w:t>
            </w:r>
          </w:p>
        </w:tc>
      </w:tr>
    </w:tbl>
    <w:p w:rsidR="007275CF" w:rsidRPr="00EA7B4C" w:rsidRDefault="007275CF" w:rsidP="007275CF">
      <w:pPr>
        <w:ind w:firstLine="708"/>
        <w:jc w:val="both"/>
        <w:rPr>
          <w:b/>
          <w:i/>
          <w:sz w:val="16"/>
          <w:szCs w:val="16"/>
        </w:rPr>
      </w:pPr>
    </w:p>
    <w:p w:rsidR="007275CF" w:rsidRPr="001F1AFB" w:rsidRDefault="007275CF" w:rsidP="007275CF">
      <w:pPr>
        <w:ind w:firstLine="708"/>
        <w:jc w:val="both"/>
        <w:rPr>
          <w:b/>
        </w:rPr>
      </w:pPr>
      <w:r w:rsidRPr="001F1AFB">
        <w:rPr>
          <w:b/>
        </w:rPr>
        <w:t>2. Вимірювання впливу регулювання на суб’єктів малого підприємництва (мікро- та малі):</w:t>
      </w:r>
    </w:p>
    <w:p w:rsidR="007275CF" w:rsidRPr="00813178" w:rsidRDefault="007275CF" w:rsidP="007275CF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0" w:name="n136"/>
      <w:bookmarkEnd w:id="0"/>
      <w:r w:rsidRPr="00813178">
        <w:rPr>
          <w:lang w:val="uk-UA"/>
        </w:rPr>
        <w:t xml:space="preserve">- кількість суб’єктів малого підприємництва, на яких поширюється регулювання: </w:t>
      </w:r>
      <w:r>
        <w:rPr>
          <w:lang w:val="uk-UA"/>
        </w:rPr>
        <w:t xml:space="preserve">                       165</w:t>
      </w:r>
      <w:r w:rsidRPr="00813178">
        <w:rPr>
          <w:lang w:val="uk-UA"/>
        </w:rPr>
        <w:t xml:space="preserve"> (одиниц</w:t>
      </w:r>
      <w:r>
        <w:rPr>
          <w:lang w:val="uk-UA"/>
        </w:rPr>
        <w:t>ь</w:t>
      </w:r>
      <w:r w:rsidRPr="00813178">
        <w:rPr>
          <w:lang w:val="uk-UA"/>
        </w:rPr>
        <w:t xml:space="preserve">), у тому числі малого підприємництва </w:t>
      </w:r>
      <w:r>
        <w:rPr>
          <w:lang w:val="uk-UA"/>
        </w:rPr>
        <w:t>32</w:t>
      </w:r>
      <w:r w:rsidRPr="00813178">
        <w:rPr>
          <w:lang w:val="uk-UA"/>
        </w:rPr>
        <w:t xml:space="preserve"> (одиниці) та </w:t>
      </w:r>
      <w:proofErr w:type="spellStart"/>
      <w:r w:rsidRPr="00813178">
        <w:rPr>
          <w:lang w:val="uk-UA"/>
        </w:rPr>
        <w:t>мікропідприємництва</w:t>
      </w:r>
      <w:proofErr w:type="spellEnd"/>
      <w:r w:rsidRPr="00813178">
        <w:rPr>
          <w:lang w:val="uk-UA"/>
        </w:rPr>
        <w:t xml:space="preserve"> </w:t>
      </w:r>
      <w:r>
        <w:rPr>
          <w:lang w:val="uk-UA"/>
        </w:rPr>
        <w:t>133</w:t>
      </w:r>
      <w:r w:rsidRPr="00813178">
        <w:rPr>
          <w:lang w:val="uk-UA"/>
        </w:rPr>
        <w:t xml:space="preserve"> (одиниці);</w:t>
      </w:r>
    </w:p>
    <w:p w:rsidR="007275CF" w:rsidRPr="00813178" w:rsidRDefault="007275CF" w:rsidP="007275CF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1" w:name="n137"/>
      <w:bookmarkEnd w:id="1"/>
      <w:r w:rsidRPr="00813178">
        <w:rPr>
          <w:lang w:val="uk-UA"/>
        </w:rPr>
        <w:t xml:space="preserve">- питома вага суб’єктів малого підприємництва у загальній кількості суб’єктів господарювання, на яких проблема справляє вплив </w:t>
      </w:r>
      <w:r>
        <w:rPr>
          <w:lang w:val="uk-UA"/>
        </w:rPr>
        <w:t xml:space="preserve">96,4 </w:t>
      </w:r>
      <w:r w:rsidRPr="00813178">
        <w:rPr>
          <w:lang w:val="uk-UA"/>
        </w:rPr>
        <w:t xml:space="preserve">% (відсотків) (відповідно до таблиці “Оцінка впливу на сферу інтересів суб’єктів господарювання ” додатка 1 до Методики проведення аналізу впливу регуляторного </w:t>
      </w:r>
      <w:proofErr w:type="spellStart"/>
      <w:r w:rsidRPr="00813178">
        <w:rPr>
          <w:lang w:val="uk-UA"/>
        </w:rPr>
        <w:t>акта</w:t>
      </w:r>
      <w:proofErr w:type="spellEnd"/>
      <w:r w:rsidRPr="00813178">
        <w:rPr>
          <w:lang w:val="uk-UA"/>
        </w:rPr>
        <w:t>).</w:t>
      </w: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  <w:bookmarkStart w:id="2" w:name="n138"/>
      <w:bookmarkEnd w:id="2"/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Default="007275CF" w:rsidP="007275CF">
      <w:pPr>
        <w:pStyle w:val="rvps2"/>
        <w:spacing w:before="0" w:beforeAutospacing="0" w:after="0" w:afterAutospacing="0"/>
        <w:rPr>
          <w:lang w:val="uk-UA"/>
        </w:rPr>
      </w:pPr>
    </w:p>
    <w:p w:rsidR="007275CF" w:rsidRPr="001F1AFB" w:rsidRDefault="007275CF" w:rsidP="007275C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uk-UA"/>
        </w:rPr>
      </w:pPr>
      <w:r w:rsidRPr="001F1AFB">
        <w:rPr>
          <w:b/>
          <w:lang w:val="uk-UA"/>
        </w:rPr>
        <w:t>Розрахунок витрат суб’єктів малого підприємництва на виконання вимог регулювання*</w:t>
      </w:r>
    </w:p>
    <w:p w:rsidR="007275CF" w:rsidRPr="00535DAB" w:rsidRDefault="007275CF" w:rsidP="007275CF">
      <w:pPr>
        <w:pStyle w:val="rvps2"/>
        <w:spacing w:before="0" w:beforeAutospacing="0" w:after="0" w:afterAutospacing="0"/>
        <w:ind w:left="54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3142"/>
        <w:gridCol w:w="961"/>
        <w:gridCol w:w="963"/>
        <w:gridCol w:w="961"/>
        <w:gridCol w:w="918"/>
        <w:gridCol w:w="45"/>
        <w:gridCol w:w="966"/>
        <w:gridCol w:w="955"/>
      </w:tblGrid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jc w:val="center"/>
            </w:pPr>
            <w:r w:rsidRPr="00E116F8">
              <w:t>№</w:t>
            </w:r>
            <w:r>
              <w:t xml:space="preserve"> </w:t>
            </w:r>
            <w:r w:rsidRPr="00E116F8">
              <w:t>з/п</w:t>
            </w:r>
          </w:p>
        </w:tc>
        <w:tc>
          <w:tcPr>
            <w:tcW w:w="1681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Найменування оцінки</w:t>
            </w:r>
          </w:p>
        </w:tc>
        <w:tc>
          <w:tcPr>
            <w:tcW w:w="514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2018 р.</w:t>
            </w:r>
          </w:p>
        </w:tc>
        <w:tc>
          <w:tcPr>
            <w:tcW w:w="515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2019 р.</w:t>
            </w:r>
          </w:p>
        </w:tc>
        <w:tc>
          <w:tcPr>
            <w:tcW w:w="514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2020 р.</w:t>
            </w:r>
          </w:p>
        </w:tc>
        <w:tc>
          <w:tcPr>
            <w:tcW w:w="515" w:type="pct"/>
            <w:gridSpan w:val="2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2021 р.</w:t>
            </w:r>
          </w:p>
        </w:tc>
        <w:tc>
          <w:tcPr>
            <w:tcW w:w="517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2022 р.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Витрати за п’ять років</w:t>
            </w:r>
          </w:p>
        </w:tc>
      </w:tr>
      <w:tr w:rsidR="007275CF" w:rsidRPr="00813178" w:rsidTr="007A2887">
        <w:trPr>
          <w:trHeight w:val="15"/>
        </w:trPr>
        <w:tc>
          <w:tcPr>
            <w:tcW w:w="5000" w:type="pct"/>
            <w:gridSpan w:val="9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</w:t>
            </w:r>
          </w:p>
        </w:tc>
        <w:tc>
          <w:tcPr>
            <w:tcW w:w="1681" w:type="pct"/>
          </w:tcPr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Процедури отримання заяви та </w:t>
            </w:r>
            <w:r>
              <w:rPr>
                <w:lang w:val="uk-UA"/>
              </w:rPr>
              <w:t xml:space="preserve">збір </w:t>
            </w:r>
            <w:r w:rsidRPr="00813178">
              <w:rPr>
                <w:lang w:val="uk-UA"/>
              </w:rPr>
              <w:t xml:space="preserve">пакету документів, укладання договору, грн. 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подання пакету документів та </w:t>
            </w:r>
            <w:r w:rsidRPr="000F1F9C">
              <w:rPr>
                <w:sz w:val="20"/>
                <w:szCs w:val="20"/>
                <w:lang w:val="uk-UA"/>
              </w:rPr>
              <w:t>заяви</w:t>
            </w:r>
            <w:r>
              <w:rPr>
                <w:sz w:val="20"/>
                <w:szCs w:val="20"/>
                <w:lang w:val="uk-UA"/>
              </w:rPr>
              <w:t xml:space="preserve"> 0,25 год. х 22,41 грн. (із розрахунку заробітної плати = 3723 грн.) ** = 5,60 грн.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1F9C">
              <w:rPr>
                <w:sz w:val="20"/>
                <w:szCs w:val="20"/>
                <w:lang w:val="uk-UA"/>
              </w:rPr>
              <w:t>збір пакету документів</w:t>
            </w:r>
            <w:r>
              <w:rPr>
                <w:sz w:val="20"/>
                <w:szCs w:val="20"/>
                <w:lang w:val="uk-UA"/>
              </w:rPr>
              <w:t xml:space="preserve"> 0,4 год. х 22,41 грн. =  9,00 грн.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1F9C">
              <w:rPr>
                <w:sz w:val="20"/>
                <w:szCs w:val="20"/>
                <w:lang w:val="uk-UA"/>
              </w:rPr>
              <w:t>укладання договору</w:t>
            </w:r>
            <w:r>
              <w:rPr>
                <w:sz w:val="20"/>
                <w:szCs w:val="20"/>
                <w:lang w:val="uk-UA"/>
              </w:rPr>
              <w:t xml:space="preserve"> 0,2 год. х 22,41 грн. = 4,50 грн.</w:t>
            </w:r>
          </w:p>
          <w:p w:rsidR="007275CF" w:rsidRPr="000F1F9C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4 х 7 грн. = 28 грн.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  <w:tc>
          <w:tcPr>
            <w:tcW w:w="515" w:type="pct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  <w:tc>
          <w:tcPr>
            <w:tcW w:w="517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47,10</w:t>
            </w:r>
          </w:p>
        </w:tc>
      </w:tr>
      <w:tr w:rsidR="007275CF" w:rsidRPr="00813178" w:rsidTr="007A2887">
        <w:trPr>
          <w:trHeight w:val="12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1" w:type="pct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Кількість суб’єктів господарювання, що повинні виконати вимоги регулювання, о</w:t>
            </w:r>
            <w:r>
              <w:rPr>
                <w:lang w:val="uk-UA"/>
              </w:rPr>
              <w:t>сіб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515" w:type="pct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517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845</w:t>
            </w:r>
          </w:p>
        </w:tc>
      </w:tr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1" w:type="pct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Сумарно</w:t>
            </w:r>
            <w:r>
              <w:rPr>
                <w:lang w:val="uk-UA"/>
              </w:rPr>
              <w:t xml:space="preserve"> </w:t>
            </w:r>
            <w:r w:rsidRPr="008B425D">
              <w:rPr>
                <w:sz w:val="23"/>
                <w:szCs w:val="23"/>
                <w:lang w:val="uk-UA"/>
              </w:rPr>
              <w:t xml:space="preserve">(рядок </w:t>
            </w:r>
            <w:r>
              <w:rPr>
                <w:sz w:val="23"/>
                <w:szCs w:val="23"/>
                <w:lang w:val="uk-UA"/>
              </w:rPr>
              <w:t>1</w:t>
            </w:r>
            <w:r w:rsidRPr="008B425D">
              <w:rPr>
                <w:sz w:val="23"/>
                <w:szCs w:val="23"/>
                <w:lang w:val="uk-UA"/>
              </w:rPr>
              <w:t xml:space="preserve"> х рядок </w:t>
            </w:r>
            <w:r>
              <w:rPr>
                <w:sz w:val="23"/>
                <w:szCs w:val="23"/>
                <w:lang w:val="uk-UA"/>
              </w:rPr>
              <w:t>2</w:t>
            </w:r>
            <w:r w:rsidRPr="008B425D">
              <w:rPr>
                <w:sz w:val="23"/>
                <w:szCs w:val="23"/>
                <w:lang w:val="uk-UA"/>
              </w:rPr>
              <w:t>)</w:t>
            </w:r>
            <w:r w:rsidRPr="0081317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грн.</w:t>
            </w:r>
            <w:r w:rsidRPr="00813178">
              <w:rPr>
                <w:lang w:val="uk-UA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7771,50</w:t>
            </w:r>
          </w:p>
        </w:tc>
        <w:tc>
          <w:tcPr>
            <w:tcW w:w="515" w:type="pct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7865</w:t>
            </w:r>
            <w:r w:rsidRPr="000D6CC5">
              <w:t>,</w:t>
            </w:r>
            <w:r>
              <w:rPr>
                <w:lang w:val="ru-RU"/>
              </w:rPr>
              <w:t>7</w:t>
            </w:r>
            <w:r w:rsidRPr="000D6CC5">
              <w:t>0</w:t>
            </w:r>
          </w:p>
        </w:tc>
        <w:tc>
          <w:tcPr>
            <w:tcW w:w="514" w:type="pct"/>
            <w:vAlign w:val="center"/>
          </w:tcPr>
          <w:p w:rsidR="007275CF" w:rsidRDefault="007275CF" w:rsidP="007A2887">
            <w:pPr>
              <w:jc w:val="center"/>
            </w:pPr>
            <w:r w:rsidRPr="000D6CC5">
              <w:t>7</w:t>
            </w:r>
            <w:r>
              <w:rPr>
                <w:lang w:val="ru-RU"/>
              </w:rPr>
              <w:t>959</w:t>
            </w:r>
            <w:r w:rsidRPr="000D6CC5">
              <w:t>,</w:t>
            </w:r>
            <w:r>
              <w:rPr>
                <w:lang w:val="ru-RU"/>
              </w:rPr>
              <w:t>9</w:t>
            </w:r>
            <w:r w:rsidRPr="000D6CC5">
              <w:t>0</w:t>
            </w:r>
          </w:p>
        </w:tc>
        <w:tc>
          <w:tcPr>
            <w:tcW w:w="515" w:type="pct"/>
            <w:gridSpan w:val="2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8054</w:t>
            </w:r>
            <w:r w:rsidRPr="000D6CC5">
              <w:t>,</w:t>
            </w:r>
            <w:r>
              <w:rPr>
                <w:lang w:val="ru-RU"/>
              </w:rPr>
              <w:t>1</w:t>
            </w:r>
            <w:r w:rsidRPr="000D6CC5">
              <w:t>0</w:t>
            </w:r>
          </w:p>
        </w:tc>
        <w:tc>
          <w:tcPr>
            <w:tcW w:w="517" w:type="pct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8148</w:t>
            </w:r>
            <w:r w:rsidRPr="000D6CC5">
              <w:t>,</w:t>
            </w:r>
            <w:r>
              <w:rPr>
                <w:lang w:val="ru-RU"/>
              </w:rPr>
              <w:t>3</w:t>
            </w:r>
            <w:r w:rsidRPr="000D6CC5">
              <w:t>0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39799,50</w:t>
            </w:r>
          </w:p>
        </w:tc>
      </w:tr>
      <w:tr w:rsidR="007275CF" w:rsidRPr="00813178" w:rsidTr="007A2887">
        <w:trPr>
          <w:trHeight w:val="15"/>
        </w:trPr>
        <w:tc>
          <w:tcPr>
            <w:tcW w:w="5000" w:type="pct"/>
            <w:gridSpan w:val="9"/>
          </w:tcPr>
          <w:p w:rsidR="007275CF" w:rsidRPr="00813178" w:rsidRDefault="007275CF" w:rsidP="007A2887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1" w:type="pct"/>
          </w:tcPr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отримання: консультації 0,20 год. х 22,41 грн. (із розрахунку заробітної плати = 3723 грн.) ** = 4,50 грн.</w:t>
            </w:r>
          </w:p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2 х 7 грн. = 14 грн.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91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41" w:type="pct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</w:tr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1" w:type="pct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Кількість суб’єктів малого підприємництва, що повинні виконати вимоги регулювання, о</w:t>
            </w:r>
            <w:r>
              <w:rPr>
                <w:lang w:val="uk-UA"/>
              </w:rPr>
              <w:t>сіб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49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541" w:type="pct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845</w:t>
            </w:r>
          </w:p>
        </w:tc>
      </w:tr>
      <w:tr w:rsidR="007275CF" w:rsidRPr="00813178" w:rsidTr="007A2887">
        <w:trPr>
          <w:trHeight w:val="15"/>
        </w:trPr>
        <w:tc>
          <w:tcPr>
            <w:tcW w:w="233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1" w:type="pct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Сумарно</w:t>
            </w:r>
            <w:r>
              <w:rPr>
                <w:lang w:val="uk-UA"/>
              </w:rPr>
              <w:t xml:space="preserve"> </w:t>
            </w:r>
            <w:r w:rsidRPr="008B425D">
              <w:rPr>
                <w:sz w:val="23"/>
                <w:szCs w:val="23"/>
                <w:lang w:val="uk-UA"/>
              </w:rPr>
              <w:t xml:space="preserve">(рядок </w:t>
            </w:r>
            <w:r>
              <w:rPr>
                <w:sz w:val="23"/>
                <w:szCs w:val="23"/>
                <w:lang w:val="uk-UA"/>
              </w:rPr>
              <w:t>4</w:t>
            </w:r>
            <w:r w:rsidRPr="008B425D">
              <w:rPr>
                <w:sz w:val="23"/>
                <w:szCs w:val="23"/>
                <w:lang w:val="uk-UA"/>
              </w:rPr>
              <w:t xml:space="preserve"> х рядок </w:t>
            </w:r>
            <w:r>
              <w:rPr>
                <w:sz w:val="23"/>
                <w:szCs w:val="23"/>
                <w:lang w:val="uk-UA"/>
              </w:rPr>
              <w:t>5</w:t>
            </w:r>
            <w:r w:rsidRPr="008B425D">
              <w:rPr>
                <w:sz w:val="23"/>
                <w:szCs w:val="23"/>
                <w:lang w:val="uk-UA"/>
              </w:rPr>
              <w:t>)</w:t>
            </w:r>
            <w:r w:rsidRPr="0081317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грн.</w:t>
            </w:r>
            <w:r w:rsidRPr="00813178">
              <w:rPr>
                <w:lang w:val="uk-UA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3052,50</w:t>
            </w: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3089,50</w:t>
            </w:r>
          </w:p>
        </w:tc>
        <w:tc>
          <w:tcPr>
            <w:tcW w:w="514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3126,50</w:t>
            </w:r>
          </w:p>
        </w:tc>
        <w:tc>
          <w:tcPr>
            <w:tcW w:w="491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3163,50</w:t>
            </w:r>
          </w:p>
        </w:tc>
        <w:tc>
          <w:tcPr>
            <w:tcW w:w="541" w:type="pct"/>
            <w:gridSpan w:val="2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3200,50</w:t>
            </w:r>
          </w:p>
        </w:tc>
        <w:tc>
          <w:tcPr>
            <w:tcW w:w="511" w:type="pct"/>
            <w:vAlign w:val="center"/>
          </w:tcPr>
          <w:p w:rsidR="007275CF" w:rsidRPr="00813178" w:rsidRDefault="007275CF" w:rsidP="007A288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15632,50</w:t>
            </w:r>
          </w:p>
        </w:tc>
      </w:tr>
    </w:tbl>
    <w:p w:rsidR="007275CF" w:rsidRPr="00667125" w:rsidRDefault="007275CF" w:rsidP="007275CF">
      <w:pPr>
        <w:jc w:val="both"/>
        <w:rPr>
          <w:color w:val="000000"/>
        </w:rPr>
      </w:pPr>
      <w:bookmarkStart w:id="3" w:name="n139"/>
      <w:bookmarkStart w:id="4" w:name="n140"/>
      <w:bookmarkEnd w:id="3"/>
      <w:bookmarkEnd w:id="4"/>
      <w:r w:rsidRPr="00667125">
        <w:rPr>
          <w:color w:val="000000"/>
        </w:rPr>
        <w:t xml:space="preserve">* </w:t>
      </w:r>
      <w:r>
        <w:rPr>
          <w:color w:val="000000"/>
        </w:rPr>
        <w:t>з</w:t>
      </w:r>
      <w:r w:rsidRPr="00667125">
        <w:rPr>
          <w:color w:val="000000"/>
        </w:rPr>
        <w:t xml:space="preserve">а даними </w:t>
      </w:r>
      <w:r>
        <w:t xml:space="preserve">обліку департаменту економіки, фінансів та міського бюджету Дніпровської міської ради за </w:t>
      </w:r>
      <w:r w:rsidRPr="00813178">
        <w:t>2017</w:t>
      </w:r>
      <w:r>
        <w:t xml:space="preserve"> рік;</w:t>
      </w:r>
      <w:r w:rsidRPr="00667125">
        <w:rPr>
          <w:color w:val="000000"/>
        </w:rPr>
        <w:t xml:space="preserve"> </w:t>
      </w:r>
    </w:p>
    <w:p w:rsidR="007275CF" w:rsidRPr="00E552D4" w:rsidRDefault="007275CF" w:rsidP="007275CF">
      <w:pPr>
        <w:pStyle w:val="rvps3"/>
        <w:spacing w:before="0" w:beforeAutospacing="0" w:after="0" w:afterAutospacing="0"/>
        <w:jc w:val="both"/>
        <w:rPr>
          <w:lang w:val="uk-UA"/>
        </w:rPr>
      </w:pPr>
      <w:r w:rsidRPr="00E552D4">
        <w:rPr>
          <w:lang w:val="uk-UA"/>
        </w:rPr>
        <w:t xml:space="preserve">** </w:t>
      </w:r>
      <w:r>
        <w:rPr>
          <w:lang w:val="uk-UA"/>
        </w:rPr>
        <w:t xml:space="preserve">згідно ст. 8 Закону України «Про Державний бюджет України на 2018 рік». </w:t>
      </w:r>
    </w:p>
    <w:p w:rsidR="007275CF" w:rsidRDefault="007275CF" w:rsidP="007275CF">
      <w:pPr>
        <w:pStyle w:val="rvps3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7275CF" w:rsidRPr="00532E6E" w:rsidRDefault="007275CF" w:rsidP="007275CF">
      <w:pPr>
        <w:pStyle w:val="rvps3"/>
        <w:spacing w:before="0" w:beforeAutospacing="0" w:after="0" w:afterAutospacing="0"/>
        <w:ind w:firstLine="708"/>
        <w:jc w:val="both"/>
        <w:rPr>
          <w:lang w:val="uk-UA"/>
        </w:rPr>
      </w:pPr>
      <w:r w:rsidRPr="00532E6E">
        <w:rPr>
          <w:lang w:val="uk-UA"/>
        </w:rPr>
        <w:t>Бюджетні витрати на адміністрування регулювання суб’єктів малого підприємництва.</w:t>
      </w:r>
    </w:p>
    <w:p w:rsidR="007275CF" w:rsidRDefault="007275CF" w:rsidP="007275CF">
      <w:pPr>
        <w:pStyle w:val="rvps2"/>
        <w:spacing w:before="0" w:beforeAutospacing="0" w:after="0" w:afterAutospacing="0"/>
        <w:ind w:firstLine="708"/>
        <w:jc w:val="both"/>
        <w:rPr>
          <w:lang w:val="uk-UA"/>
        </w:rPr>
      </w:pPr>
      <w:bookmarkStart w:id="5" w:name="n142"/>
      <w:bookmarkEnd w:id="5"/>
      <w:r>
        <w:rPr>
          <w:lang w:val="uk-UA"/>
        </w:rPr>
        <w:t xml:space="preserve">Державне регулювання запропонованого проекту рішення не передбачає утворення нового державного органу або створення нового структурного підрозділу діючого органу. Повноваження щодо адміністрування даного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делеговані Департаменту (рішення Дніпровської міської ради від 31.01.2018 № 31/29).</w:t>
      </w:r>
    </w:p>
    <w:p w:rsidR="007275CF" w:rsidRPr="00535DAB" w:rsidRDefault="007275CF" w:rsidP="007275CF">
      <w:pPr>
        <w:pStyle w:val="rvps2"/>
        <w:spacing w:before="0" w:beforeAutospacing="0" w:after="0" w:afterAutospacing="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3"/>
        <w:gridCol w:w="1097"/>
        <w:gridCol w:w="1508"/>
        <w:gridCol w:w="1095"/>
        <w:gridCol w:w="1232"/>
        <w:gridCol w:w="1110"/>
      </w:tblGrid>
      <w:tr w:rsidR="007275CF" w:rsidRPr="00813178" w:rsidTr="007A2887">
        <w:tc>
          <w:tcPr>
            <w:tcW w:w="1767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lastRenderedPageBreak/>
              <w:t>Процедура регулювання (розрахунок на одного типового суб’єкта)</w:t>
            </w:r>
          </w:p>
        </w:tc>
        <w:tc>
          <w:tcPr>
            <w:tcW w:w="587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Планові витрати часу на </w:t>
            </w:r>
            <w:proofErr w:type="spellStart"/>
            <w:r w:rsidRPr="00813178">
              <w:rPr>
                <w:lang w:val="uk-UA"/>
              </w:rPr>
              <w:t>процеду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 w:rsidRPr="00813178">
              <w:rPr>
                <w:lang w:val="uk-UA"/>
              </w:rPr>
              <w:t>ру</w:t>
            </w:r>
            <w:proofErr w:type="spellEnd"/>
            <w:r w:rsidRPr="00813178">
              <w:rPr>
                <w:lang w:val="uk-UA"/>
              </w:rPr>
              <w:t>, годин</w:t>
            </w:r>
          </w:p>
        </w:tc>
        <w:tc>
          <w:tcPr>
            <w:tcW w:w="807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Вартість часу співробітника органу державної влади ДМР відповідної категорії (заробітна плата)</w:t>
            </w:r>
            <w:r>
              <w:rPr>
                <w:lang w:val="uk-UA"/>
              </w:rPr>
              <w:t>, гривень</w:t>
            </w:r>
          </w:p>
        </w:tc>
        <w:tc>
          <w:tcPr>
            <w:tcW w:w="586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Витрати на адміністрування </w:t>
            </w:r>
            <w:proofErr w:type="spellStart"/>
            <w:r w:rsidRPr="00813178">
              <w:rPr>
                <w:lang w:val="uk-UA"/>
              </w:rPr>
              <w:t>регулю</w:t>
            </w:r>
            <w:proofErr w:type="spellEnd"/>
            <w:r>
              <w:rPr>
                <w:lang w:val="uk-UA"/>
              </w:rPr>
              <w:t xml:space="preserve"> –</w:t>
            </w:r>
            <w:proofErr w:type="spellStart"/>
            <w:r w:rsidRPr="00813178">
              <w:rPr>
                <w:lang w:val="uk-UA"/>
              </w:rPr>
              <w:t>вання</w:t>
            </w:r>
            <w:proofErr w:type="spellEnd"/>
            <w:r w:rsidRPr="00813178">
              <w:rPr>
                <w:lang w:val="uk-UA"/>
              </w:rPr>
              <w:t xml:space="preserve"> (на одного типового суб’єкта), гривень </w:t>
            </w:r>
          </w:p>
        </w:tc>
        <w:tc>
          <w:tcPr>
            <w:tcW w:w="659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Кількість суб’єктів, що підпадають під дію процедури </w:t>
            </w:r>
            <w:proofErr w:type="spellStart"/>
            <w:r>
              <w:rPr>
                <w:lang w:val="uk-UA"/>
              </w:rPr>
              <w:t>регулю</w:t>
            </w:r>
            <w:proofErr w:type="spellEnd"/>
            <w:r>
              <w:rPr>
                <w:lang w:val="uk-UA"/>
              </w:rPr>
              <w:t xml:space="preserve"> –</w:t>
            </w:r>
            <w:proofErr w:type="spellStart"/>
            <w:r>
              <w:rPr>
                <w:lang w:val="uk-UA"/>
              </w:rPr>
              <w:t>ва</w:t>
            </w:r>
            <w:r w:rsidRPr="00813178">
              <w:rPr>
                <w:lang w:val="uk-UA"/>
              </w:rPr>
              <w:t>ння</w:t>
            </w:r>
            <w:proofErr w:type="spellEnd"/>
            <w:r>
              <w:rPr>
                <w:lang w:val="uk-UA"/>
              </w:rPr>
              <w:t>, осіб</w:t>
            </w:r>
          </w:p>
        </w:tc>
        <w:tc>
          <w:tcPr>
            <w:tcW w:w="594" w:type="pct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Витрати на адміністрування регулювання (за рік), гривень</w:t>
            </w:r>
          </w:p>
        </w:tc>
      </w:tr>
      <w:tr w:rsidR="007275CF" w:rsidRPr="00813178" w:rsidTr="007A2887">
        <w:tc>
          <w:tcPr>
            <w:tcW w:w="1767" w:type="pct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532E6E">
              <w:rPr>
                <w:lang w:val="uk-UA"/>
              </w:rPr>
              <w:t>Бюджетні витрати на адміністрування регулювання суб’єктів малого підприємництва</w:t>
            </w:r>
            <w:r>
              <w:rPr>
                <w:lang w:val="uk-UA"/>
              </w:rPr>
              <w:t>*</w:t>
            </w:r>
            <w:r w:rsidRPr="00813178">
              <w:rPr>
                <w:lang w:val="uk-UA"/>
              </w:rPr>
              <w:t>, грн.</w:t>
            </w:r>
          </w:p>
        </w:tc>
        <w:tc>
          <w:tcPr>
            <w:tcW w:w="3233" w:type="pct"/>
            <w:gridSpan w:val="5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</w:tbl>
    <w:p w:rsidR="007275CF" w:rsidRDefault="007275CF" w:rsidP="007275CF">
      <w:pPr>
        <w:pStyle w:val="rvps2"/>
        <w:spacing w:before="0" w:beforeAutospacing="0" w:after="0" w:afterAutospacing="0"/>
        <w:ind w:firstLine="180"/>
        <w:jc w:val="both"/>
        <w:rPr>
          <w:lang w:val="uk-UA"/>
        </w:rPr>
      </w:pPr>
      <w:r>
        <w:rPr>
          <w:lang w:val="uk-UA"/>
        </w:rPr>
        <w:t>*у межах затвердженого кошторису доходів і видатків на утримання Департаменту за рахунок коштів міського бюджету.</w:t>
      </w:r>
    </w:p>
    <w:p w:rsidR="007275CF" w:rsidRPr="009D0716" w:rsidRDefault="007275CF" w:rsidP="007275CF">
      <w:pPr>
        <w:pStyle w:val="rvps2"/>
        <w:spacing w:before="0" w:beforeAutospacing="0" w:after="0" w:afterAutospacing="0"/>
        <w:ind w:left="180"/>
        <w:rPr>
          <w:sz w:val="16"/>
          <w:szCs w:val="16"/>
          <w:lang w:val="uk-UA"/>
        </w:rPr>
      </w:pPr>
    </w:p>
    <w:p w:rsidR="007275CF" w:rsidRPr="00FB4514" w:rsidRDefault="007275CF" w:rsidP="007275C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uk-UA"/>
        </w:rPr>
      </w:pPr>
      <w:r w:rsidRPr="00FB4514">
        <w:rPr>
          <w:b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7275CF" w:rsidRPr="00535DAB" w:rsidRDefault="007275CF" w:rsidP="007275CF">
      <w:pPr>
        <w:pStyle w:val="rvps2"/>
        <w:spacing w:before="0" w:beforeAutospacing="0" w:after="0" w:afterAutospacing="0"/>
        <w:ind w:left="18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"/>
        <w:gridCol w:w="2895"/>
        <w:gridCol w:w="959"/>
        <w:gridCol w:w="137"/>
        <w:gridCol w:w="823"/>
        <w:gridCol w:w="136"/>
        <w:gridCol w:w="960"/>
        <w:gridCol w:w="959"/>
        <w:gridCol w:w="894"/>
        <w:gridCol w:w="65"/>
        <w:gridCol w:w="973"/>
      </w:tblGrid>
      <w:tr w:rsidR="007275CF" w:rsidRPr="00813178" w:rsidTr="007A2887">
        <w:tc>
          <w:tcPr>
            <w:tcW w:w="561" w:type="dxa"/>
            <w:vAlign w:val="center"/>
          </w:tcPr>
          <w:p w:rsidR="007275CF" w:rsidRPr="00E116F8" w:rsidRDefault="007275CF" w:rsidP="007A2887">
            <w:pPr>
              <w:jc w:val="center"/>
            </w:pPr>
            <w:bookmarkStart w:id="6" w:name="n149"/>
            <w:bookmarkEnd w:id="6"/>
            <w:r w:rsidRPr="00E116F8">
              <w:t>№</w:t>
            </w:r>
          </w:p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E116F8">
              <w:t>з/п</w:t>
            </w:r>
          </w:p>
        </w:tc>
        <w:tc>
          <w:tcPr>
            <w:tcW w:w="2998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Показник</w:t>
            </w:r>
          </w:p>
        </w:tc>
        <w:tc>
          <w:tcPr>
            <w:tcW w:w="1134" w:type="dxa"/>
            <w:gridSpan w:val="2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2018 р.</w:t>
            </w:r>
          </w:p>
        </w:tc>
        <w:tc>
          <w:tcPr>
            <w:tcW w:w="992" w:type="dxa"/>
            <w:gridSpan w:val="2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2019 р.</w:t>
            </w:r>
          </w:p>
        </w:tc>
        <w:tc>
          <w:tcPr>
            <w:tcW w:w="993" w:type="dxa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2020 р.</w:t>
            </w:r>
          </w:p>
        </w:tc>
        <w:tc>
          <w:tcPr>
            <w:tcW w:w="992" w:type="dxa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2021 р.</w:t>
            </w:r>
          </w:p>
        </w:tc>
        <w:tc>
          <w:tcPr>
            <w:tcW w:w="992" w:type="dxa"/>
            <w:gridSpan w:val="2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2022 р.</w:t>
            </w:r>
          </w:p>
        </w:tc>
        <w:tc>
          <w:tcPr>
            <w:tcW w:w="1006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За п’ять років</w:t>
            </w:r>
          </w:p>
        </w:tc>
      </w:tr>
      <w:tr w:rsidR="007275CF" w:rsidRPr="00813178" w:rsidTr="007A2887">
        <w:tc>
          <w:tcPr>
            <w:tcW w:w="561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998" w:type="dxa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134" w:type="dxa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7771,50</w:t>
            </w:r>
          </w:p>
        </w:tc>
        <w:tc>
          <w:tcPr>
            <w:tcW w:w="992" w:type="dxa"/>
            <w:gridSpan w:val="2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7865</w:t>
            </w:r>
            <w:r w:rsidRPr="000D6CC5">
              <w:t>,</w:t>
            </w:r>
            <w:r>
              <w:rPr>
                <w:lang w:val="ru-RU"/>
              </w:rPr>
              <w:t>7</w:t>
            </w:r>
            <w:r w:rsidRPr="000D6CC5">
              <w:t>0</w:t>
            </w:r>
          </w:p>
        </w:tc>
        <w:tc>
          <w:tcPr>
            <w:tcW w:w="993" w:type="dxa"/>
            <w:vAlign w:val="center"/>
          </w:tcPr>
          <w:p w:rsidR="007275CF" w:rsidRDefault="007275CF" w:rsidP="007A2887">
            <w:pPr>
              <w:jc w:val="center"/>
            </w:pPr>
            <w:r w:rsidRPr="000D6CC5">
              <w:t>7</w:t>
            </w:r>
            <w:r>
              <w:rPr>
                <w:lang w:val="ru-RU"/>
              </w:rPr>
              <w:t>959</w:t>
            </w:r>
            <w:r w:rsidRPr="000D6CC5">
              <w:t>,</w:t>
            </w:r>
            <w:r>
              <w:rPr>
                <w:lang w:val="ru-RU"/>
              </w:rPr>
              <w:t>9</w:t>
            </w:r>
            <w:r w:rsidRPr="000D6CC5">
              <w:t>0</w:t>
            </w:r>
          </w:p>
        </w:tc>
        <w:tc>
          <w:tcPr>
            <w:tcW w:w="992" w:type="dxa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8054</w:t>
            </w:r>
            <w:r w:rsidRPr="000D6CC5">
              <w:t>,</w:t>
            </w:r>
            <w:r>
              <w:rPr>
                <w:lang w:val="ru-RU"/>
              </w:rPr>
              <w:t>1</w:t>
            </w:r>
            <w:r w:rsidRPr="000D6CC5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75CF" w:rsidRDefault="007275CF" w:rsidP="007A2887">
            <w:pPr>
              <w:jc w:val="center"/>
            </w:pPr>
            <w:r>
              <w:rPr>
                <w:lang w:val="ru-RU"/>
              </w:rPr>
              <w:t>8148</w:t>
            </w:r>
            <w:r w:rsidRPr="000D6CC5">
              <w:t>,</w:t>
            </w:r>
            <w:r>
              <w:rPr>
                <w:lang w:val="ru-RU"/>
              </w:rPr>
              <w:t>3</w:t>
            </w:r>
            <w:r w:rsidRPr="000D6CC5">
              <w:t>0</w:t>
            </w:r>
          </w:p>
        </w:tc>
        <w:tc>
          <w:tcPr>
            <w:tcW w:w="1006" w:type="dxa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39799,50</w:t>
            </w:r>
          </w:p>
        </w:tc>
      </w:tr>
      <w:tr w:rsidR="007275CF" w:rsidRPr="00813178" w:rsidTr="007A2887">
        <w:tc>
          <w:tcPr>
            <w:tcW w:w="561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998" w:type="dxa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134" w:type="dxa"/>
            <w:gridSpan w:val="2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3052,50</w:t>
            </w:r>
          </w:p>
        </w:tc>
        <w:tc>
          <w:tcPr>
            <w:tcW w:w="992" w:type="dxa"/>
            <w:gridSpan w:val="2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3089,50</w:t>
            </w:r>
          </w:p>
        </w:tc>
        <w:tc>
          <w:tcPr>
            <w:tcW w:w="993" w:type="dxa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3126,50</w:t>
            </w:r>
          </w:p>
        </w:tc>
        <w:tc>
          <w:tcPr>
            <w:tcW w:w="992" w:type="dxa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3163,50</w:t>
            </w:r>
          </w:p>
        </w:tc>
        <w:tc>
          <w:tcPr>
            <w:tcW w:w="992" w:type="dxa"/>
            <w:gridSpan w:val="2"/>
            <w:vAlign w:val="center"/>
          </w:tcPr>
          <w:p w:rsidR="007275CF" w:rsidRPr="00813178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3200,50</w:t>
            </w:r>
          </w:p>
        </w:tc>
        <w:tc>
          <w:tcPr>
            <w:tcW w:w="1006" w:type="dxa"/>
            <w:vAlign w:val="center"/>
          </w:tcPr>
          <w:p w:rsidR="007275CF" w:rsidRPr="00813178" w:rsidRDefault="007275CF" w:rsidP="007A288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15632,50</w:t>
            </w:r>
          </w:p>
        </w:tc>
      </w:tr>
      <w:tr w:rsidR="007275CF" w:rsidRPr="00813178" w:rsidTr="007A2887">
        <w:tc>
          <w:tcPr>
            <w:tcW w:w="561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998" w:type="dxa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134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10824,00</w:t>
            </w:r>
          </w:p>
        </w:tc>
        <w:tc>
          <w:tcPr>
            <w:tcW w:w="992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10955,20</w:t>
            </w:r>
          </w:p>
        </w:tc>
        <w:tc>
          <w:tcPr>
            <w:tcW w:w="993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11086,40</w:t>
            </w:r>
          </w:p>
        </w:tc>
        <w:tc>
          <w:tcPr>
            <w:tcW w:w="992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11217,60</w:t>
            </w:r>
          </w:p>
        </w:tc>
        <w:tc>
          <w:tcPr>
            <w:tcW w:w="992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11348,80</w:t>
            </w:r>
          </w:p>
        </w:tc>
        <w:tc>
          <w:tcPr>
            <w:tcW w:w="1006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55432,00</w:t>
            </w:r>
          </w:p>
        </w:tc>
      </w:tr>
      <w:tr w:rsidR="007275CF" w:rsidRPr="00813178" w:rsidTr="007A2887">
        <w:tc>
          <w:tcPr>
            <w:tcW w:w="561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998" w:type="dxa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6109" w:type="dxa"/>
            <w:gridSpan w:val="9"/>
            <w:vAlign w:val="center"/>
          </w:tcPr>
          <w:p w:rsidR="007275CF" w:rsidRPr="009F39C1" w:rsidRDefault="007275CF" w:rsidP="007A2887">
            <w:pPr>
              <w:pStyle w:val="rvps14"/>
              <w:spacing w:before="0"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7275CF" w:rsidRPr="00813178" w:rsidTr="007A2887">
        <w:tc>
          <w:tcPr>
            <w:tcW w:w="561" w:type="dxa"/>
            <w:vAlign w:val="center"/>
          </w:tcPr>
          <w:p w:rsidR="007275CF" w:rsidRPr="009F39C1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998" w:type="dxa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992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10824,00</w:t>
            </w:r>
          </w:p>
        </w:tc>
        <w:tc>
          <w:tcPr>
            <w:tcW w:w="993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10955,20</w:t>
            </w:r>
          </w:p>
        </w:tc>
        <w:tc>
          <w:tcPr>
            <w:tcW w:w="1134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11086,40</w:t>
            </w:r>
          </w:p>
        </w:tc>
        <w:tc>
          <w:tcPr>
            <w:tcW w:w="992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11217,60</w:t>
            </w:r>
          </w:p>
        </w:tc>
        <w:tc>
          <w:tcPr>
            <w:tcW w:w="925" w:type="dxa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11348,80</w:t>
            </w:r>
          </w:p>
        </w:tc>
        <w:tc>
          <w:tcPr>
            <w:tcW w:w="1073" w:type="dxa"/>
            <w:gridSpan w:val="2"/>
            <w:vAlign w:val="center"/>
          </w:tcPr>
          <w:p w:rsidR="007275CF" w:rsidRPr="009F39C1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55432,00</w:t>
            </w:r>
          </w:p>
        </w:tc>
      </w:tr>
    </w:tbl>
    <w:p w:rsidR="007275CF" w:rsidRPr="00FB4514" w:rsidRDefault="007275CF" w:rsidP="007275C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uk-UA"/>
        </w:rPr>
      </w:pPr>
      <w:r w:rsidRPr="00FB4514">
        <w:rPr>
          <w:b/>
          <w:lang w:val="uk-UA"/>
        </w:rPr>
        <w:t>Розробка коригуючих (пом’якшувальних) заходів для малого підприємництва щодо запропонованого регулювання</w:t>
      </w:r>
    </w:p>
    <w:p w:rsidR="007275CF" w:rsidRDefault="007275CF" w:rsidP="007275CF">
      <w:pPr>
        <w:shd w:val="clear" w:color="auto" w:fill="FFFFFF"/>
        <w:ind w:left="180" w:firstLine="36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У зв’язку із незначною сумою витрат на виконання процедур запропонованого регулювання з боку малого підприємництва (за перший рік регулювання та за п’ять років) відсутня необхідність пропонування компенсаторних методів.</w:t>
      </w: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</w:p>
    <w:p w:rsidR="007275CF" w:rsidRDefault="007275CF" w:rsidP="007275CF">
      <w:pPr>
        <w:shd w:val="clear" w:color="auto" w:fill="FFFFFF"/>
        <w:ind w:left="708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bookmarkStart w:id="7" w:name="_GoBack"/>
      <w:bookmarkEnd w:id="7"/>
      <w:r w:rsidRPr="00813178">
        <w:rPr>
          <w:bCs/>
          <w:bdr w:val="none" w:sz="0" w:space="0" w:color="auto" w:frame="1"/>
        </w:rPr>
        <w:t>Додаток</w:t>
      </w:r>
      <w:r>
        <w:rPr>
          <w:bCs/>
          <w:bdr w:val="none" w:sz="0" w:space="0" w:color="auto" w:frame="1"/>
        </w:rPr>
        <w:t xml:space="preserve"> № 2</w:t>
      </w:r>
    </w:p>
    <w:p w:rsidR="007275CF" w:rsidRDefault="007275CF" w:rsidP="007275CF">
      <w:pPr>
        <w:shd w:val="clear" w:color="auto" w:fill="FFFFFF"/>
        <w:ind w:left="6372" w:firstLine="708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>до аналізу</w:t>
      </w:r>
    </w:p>
    <w:p w:rsidR="007275CF" w:rsidRDefault="007275CF" w:rsidP="007275CF">
      <w:pPr>
        <w:shd w:val="clear" w:color="auto" w:fill="FFFFFF"/>
        <w:ind w:left="6372" w:firstLine="708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>регуляторного впливу</w:t>
      </w:r>
    </w:p>
    <w:p w:rsidR="007275CF" w:rsidRDefault="007275CF" w:rsidP="007275CF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7275CF" w:rsidRDefault="007275CF" w:rsidP="007275CF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7275CF" w:rsidRPr="009D52D6" w:rsidRDefault="007275CF" w:rsidP="007275CF">
      <w:pPr>
        <w:pStyle w:val="rvps2"/>
        <w:spacing w:before="0" w:beforeAutospacing="0" w:after="0" w:afterAutospacing="0"/>
        <w:ind w:left="180"/>
        <w:rPr>
          <w:b/>
          <w:lang w:val="uk-UA"/>
        </w:rPr>
      </w:pPr>
      <w:r w:rsidRPr="009D52D6">
        <w:rPr>
          <w:b/>
          <w:lang w:val="uk-UA"/>
        </w:rPr>
        <w:t xml:space="preserve">Розрахунок витрат на одного суб’єкта господарювання середнього підприємництва, які виникають внаслідок дії регуляторного </w:t>
      </w:r>
      <w:proofErr w:type="spellStart"/>
      <w:r w:rsidRPr="009D52D6">
        <w:rPr>
          <w:b/>
          <w:lang w:val="uk-UA"/>
        </w:rPr>
        <w:t>акта</w:t>
      </w:r>
      <w:proofErr w:type="spellEnd"/>
      <w:r w:rsidRPr="009D52D6">
        <w:rPr>
          <w:b/>
          <w:lang w:val="uk-UA"/>
        </w:rPr>
        <w:t>*</w:t>
      </w:r>
    </w:p>
    <w:p w:rsidR="007275CF" w:rsidRPr="00535DAB" w:rsidRDefault="007275CF" w:rsidP="007275CF">
      <w:pPr>
        <w:pStyle w:val="rvps12"/>
        <w:spacing w:before="0" w:beforeAutospacing="0" w:after="0" w:afterAutospacing="0"/>
        <w:rPr>
          <w:sz w:val="16"/>
          <w:szCs w:val="1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"/>
        <w:gridCol w:w="3574"/>
        <w:gridCol w:w="963"/>
        <w:gridCol w:w="826"/>
        <w:gridCol w:w="824"/>
        <w:gridCol w:w="824"/>
        <w:gridCol w:w="824"/>
        <w:gridCol w:w="1097"/>
      </w:tblGrid>
      <w:tr w:rsidR="007275CF" w:rsidRPr="00AE42E5" w:rsidTr="007A2887">
        <w:trPr>
          <w:trHeight w:val="571"/>
          <w:jc w:val="center"/>
        </w:trPr>
        <w:tc>
          <w:tcPr>
            <w:tcW w:w="221" w:type="pct"/>
          </w:tcPr>
          <w:p w:rsidR="007275CF" w:rsidRPr="00AE42E5" w:rsidRDefault="007275CF" w:rsidP="007A2887">
            <w:pPr>
              <w:jc w:val="center"/>
            </w:pPr>
            <w:r w:rsidRPr="00E116F8">
              <w:t>№</w:t>
            </w:r>
            <w:r>
              <w:t xml:space="preserve"> </w:t>
            </w:r>
            <w:r w:rsidRPr="00E116F8">
              <w:t>з/п</w:t>
            </w:r>
          </w:p>
        </w:tc>
        <w:tc>
          <w:tcPr>
            <w:tcW w:w="1912" w:type="pct"/>
            <w:vAlign w:val="center"/>
          </w:tcPr>
          <w:p w:rsidR="007275CF" w:rsidRPr="00AE42E5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AE42E5">
              <w:rPr>
                <w:lang w:val="uk-UA"/>
              </w:rPr>
              <w:t>Витрати</w:t>
            </w:r>
          </w:p>
        </w:tc>
        <w:tc>
          <w:tcPr>
            <w:tcW w:w="515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2018 р.</w:t>
            </w:r>
          </w:p>
        </w:tc>
        <w:tc>
          <w:tcPr>
            <w:tcW w:w="442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2019 р.</w:t>
            </w:r>
          </w:p>
        </w:tc>
        <w:tc>
          <w:tcPr>
            <w:tcW w:w="441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2020 р.</w:t>
            </w:r>
          </w:p>
        </w:tc>
        <w:tc>
          <w:tcPr>
            <w:tcW w:w="441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2021 р.</w:t>
            </w:r>
          </w:p>
        </w:tc>
        <w:tc>
          <w:tcPr>
            <w:tcW w:w="441" w:type="pct"/>
            <w:vAlign w:val="center"/>
          </w:tcPr>
          <w:p w:rsidR="007275CF" w:rsidRPr="00357D24" w:rsidRDefault="007275CF" w:rsidP="007A2887">
            <w:pPr>
              <w:jc w:val="center"/>
            </w:pPr>
            <w:r>
              <w:t>2022 р.</w:t>
            </w:r>
          </w:p>
        </w:tc>
        <w:tc>
          <w:tcPr>
            <w:tcW w:w="587" w:type="pct"/>
            <w:vAlign w:val="center"/>
          </w:tcPr>
          <w:p w:rsidR="007275CF" w:rsidRPr="00AE42E5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Витрати за п’ять років</w:t>
            </w:r>
          </w:p>
        </w:tc>
      </w:tr>
      <w:tr w:rsidR="007275CF" w:rsidRPr="00F57E0C" w:rsidTr="007A2887">
        <w:trPr>
          <w:jc w:val="center"/>
        </w:trPr>
        <w:tc>
          <w:tcPr>
            <w:tcW w:w="22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8B425D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12" w:type="pct"/>
          </w:tcPr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Процедури отримання заяви та </w:t>
            </w:r>
            <w:r>
              <w:rPr>
                <w:lang w:val="uk-UA"/>
              </w:rPr>
              <w:t xml:space="preserve">збір </w:t>
            </w:r>
            <w:r w:rsidRPr="00813178">
              <w:rPr>
                <w:lang w:val="uk-UA"/>
              </w:rPr>
              <w:t xml:space="preserve">пакету документів, укладання договору, грн. 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подання пакету документів та </w:t>
            </w:r>
            <w:r w:rsidRPr="000F1F9C">
              <w:rPr>
                <w:sz w:val="20"/>
                <w:szCs w:val="20"/>
                <w:lang w:val="uk-UA"/>
              </w:rPr>
              <w:t>заяви</w:t>
            </w:r>
            <w:r>
              <w:rPr>
                <w:sz w:val="20"/>
                <w:szCs w:val="20"/>
                <w:lang w:val="uk-UA"/>
              </w:rPr>
              <w:t xml:space="preserve"> 0,25 год. х 22,41 грн. (із розрахунку заробітної плати = 3723 грн.) ** = 5,60 грн.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1F9C">
              <w:rPr>
                <w:sz w:val="20"/>
                <w:szCs w:val="20"/>
                <w:lang w:val="uk-UA"/>
              </w:rPr>
              <w:t>збір пакету документів</w:t>
            </w:r>
            <w:r>
              <w:rPr>
                <w:sz w:val="20"/>
                <w:szCs w:val="20"/>
                <w:lang w:val="uk-UA"/>
              </w:rPr>
              <w:t xml:space="preserve"> 0,4 год. х 22,41 грн. =  9,00 грн.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1F9C">
              <w:rPr>
                <w:sz w:val="20"/>
                <w:szCs w:val="20"/>
                <w:lang w:val="uk-UA"/>
              </w:rPr>
              <w:t>укладання договору</w:t>
            </w:r>
            <w:r>
              <w:rPr>
                <w:sz w:val="20"/>
                <w:szCs w:val="20"/>
                <w:lang w:val="uk-UA"/>
              </w:rPr>
              <w:t xml:space="preserve"> 0,2 год. х 22,41 грн. = 4,50 грн.</w:t>
            </w:r>
          </w:p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4 х 7 грн. = 28 грн.</w:t>
            </w:r>
          </w:p>
        </w:tc>
        <w:tc>
          <w:tcPr>
            <w:tcW w:w="515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F5610">
              <w:rPr>
                <w:sz w:val="23"/>
                <w:szCs w:val="23"/>
                <w:lang w:val="uk-UA"/>
              </w:rPr>
              <w:t>47,10</w:t>
            </w:r>
          </w:p>
        </w:tc>
        <w:tc>
          <w:tcPr>
            <w:tcW w:w="442" w:type="pct"/>
            <w:vAlign w:val="center"/>
          </w:tcPr>
          <w:p w:rsidR="007275CF" w:rsidRDefault="007275CF" w:rsidP="007A2887">
            <w:pPr>
              <w:jc w:val="center"/>
            </w:pPr>
            <w:r w:rsidRPr="001C7960">
              <w:rPr>
                <w:sz w:val="23"/>
                <w:szCs w:val="23"/>
              </w:rPr>
              <w:t>47,10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1C7960">
              <w:rPr>
                <w:sz w:val="23"/>
                <w:szCs w:val="23"/>
              </w:rPr>
              <w:t>47,10</w:t>
            </w:r>
          </w:p>
        </w:tc>
        <w:tc>
          <w:tcPr>
            <w:tcW w:w="44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F5610">
              <w:rPr>
                <w:sz w:val="23"/>
                <w:szCs w:val="23"/>
                <w:lang w:val="uk-UA"/>
              </w:rPr>
              <w:t>47,10</w:t>
            </w:r>
          </w:p>
        </w:tc>
        <w:tc>
          <w:tcPr>
            <w:tcW w:w="44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F5610">
              <w:rPr>
                <w:sz w:val="23"/>
                <w:szCs w:val="23"/>
                <w:lang w:val="uk-UA"/>
              </w:rPr>
              <w:t>47,10</w:t>
            </w:r>
          </w:p>
        </w:tc>
        <w:tc>
          <w:tcPr>
            <w:tcW w:w="587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4F5610">
              <w:rPr>
                <w:sz w:val="23"/>
                <w:szCs w:val="23"/>
                <w:lang w:val="uk-UA"/>
              </w:rPr>
              <w:t>47,10</w:t>
            </w:r>
          </w:p>
        </w:tc>
      </w:tr>
      <w:tr w:rsidR="007275CF" w:rsidRPr="00BF518A" w:rsidTr="007A2887">
        <w:trPr>
          <w:jc w:val="center"/>
        </w:trPr>
        <w:tc>
          <w:tcPr>
            <w:tcW w:w="22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912" w:type="pct"/>
          </w:tcPr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7275CF" w:rsidRDefault="007275CF" w:rsidP="007A2887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отримання: консультації 0,20 год. х 22,41 грн. (із розрахунку заробітної плати = 3723 грн.) = 4,50 грн.</w:t>
            </w:r>
          </w:p>
          <w:p w:rsidR="007275CF" w:rsidRPr="001C2CA2" w:rsidRDefault="007275CF" w:rsidP="007A2887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2 х 7 грн. = 14 грн.</w:t>
            </w:r>
          </w:p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42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41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41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41" w:type="pct"/>
            <w:vAlign w:val="center"/>
          </w:tcPr>
          <w:p w:rsidR="007275CF" w:rsidRPr="00813178" w:rsidRDefault="007275CF" w:rsidP="007A2887">
            <w:pPr>
              <w:pStyle w:val="rvps1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587" w:type="pct"/>
            <w:vAlign w:val="center"/>
          </w:tcPr>
          <w:p w:rsidR="007275CF" w:rsidRPr="00813178" w:rsidRDefault="007275CF" w:rsidP="007A2887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</w:tr>
      <w:tr w:rsidR="007275CF" w:rsidRPr="00BF518A" w:rsidTr="007A2887">
        <w:trPr>
          <w:trHeight w:val="703"/>
          <w:jc w:val="center"/>
        </w:trPr>
        <w:tc>
          <w:tcPr>
            <w:tcW w:w="22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912" w:type="pct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8B425D">
              <w:rPr>
                <w:sz w:val="23"/>
                <w:szCs w:val="23"/>
                <w:lang w:val="uk-UA"/>
              </w:rPr>
              <w:t>Разом витрат, грн.:</w:t>
            </w:r>
          </w:p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8B425D">
              <w:rPr>
                <w:sz w:val="23"/>
                <w:szCs w:val="23"/>
                <w:lang w:val="uk-UA"/>
              </w:rPr>
              <w:t>(рядки 1+2)</w:t>
            </w:r>
          </w:p>
        </w:tc>
        <w:tc>
          <w:tcPr>
            <w:tcW w:w="515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65,60</w:t>
            </w:r>
          </w:p>
        </w:tc>
        <w:tc>
          <w:tcPr>
            <w:tcW w:w="442" w:type="pct"/>
            <w:vAlign w:val="center"/>
          </w:tcPr>
          <w:p w:rsidR="007275CF" w:rsidRDefault="007275CF" w:rsidP="007A2887">
            <w:pPr>
              <w:jc w:val="center"/>
            </w:pPr>
            <w:r w:rsidRPr="00975317">
              <w:rPr>
                <w:sz w:val="23"/>
                <w:szCs w:val="23"/>
              </w:rPr>
              <w:t>65,60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975317">
              <w:rPr>
                <w:sz w:val="23"/>
                <w:szCs w:val="23"/>
              </w:rPr>
              <w:t>65,60</w:t>
            </w:r>
          </w:p>
        </w:tc>
        <w:tc>
          <w:tcPr>
            <w:tcW w:w="44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65,60</w:t>
            </w:r>
          </w:p>
        </w:tc>
        <w:tc>
          <w:tcPr>
            <w:tcW w:w="44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65,60</w:t>
            </w:r>
          </w:p>
        </w:tc>
        <w:tc>
          <w:tcPr>
            <w:tcW w:w="587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65,60</w:t>
            </w:r>
          </w:p>
        </w:tc>
      </w:tr>
      <w:tr w:rsidR="007275CF" w:rsidRPr="00BF518A" w:rsidTr="007A2887">
        <w:trPr>
          <w:trHeight w:val="1022"/>
          <w:jc w:val="center"/>
        </w:trPr>
        <w:tc>
          <w:tcPr>
            <w:tcW w:w="22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912" w:type="pct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8B425D">
              <w:rPr>
                <w:sz w:val="23"/>
                <w:szCs w:val="23"/>
                <w:lang w:val="uk-UA"/>
              </w:rPr>
              <w:t>Кількість суб’єктів господарювання середнього підприємництва, на яких буде поширено регулювання, о</w:t>
            </w:r>
            <w:r>
              <w:rPr>
                <w:sz w:val="23"/>
                <w:szCs w:val="23"/>
                <w:lang w:val="uk-UA"/>
              </w:rPr>
              <w:t>сіб</w:t>
            </w:r>
          </w:p>
        </w:tc>
        <w:tc>
          <w:tcPr>
            <w:tcW w:w="515" w:type="pct"/>
            <w:vAlign w:val="center"/>
          </w:tcPr>
          <w:p w:rsidR="007275CF" w:rsidRPr="008B425D" w:rsidRDefault="007275CF" w:rsidP="007A2887">
            <w:pPr>
              <w:pStyle w:val="rvps12"/>
              <w:spacing w:before="0"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442" w:type="pct"/>
            <w:vAlign w:val="center"/>
          </w:tcPr>
          <w:p w:rsidR="007275CF" w:rsidRPr="0088733B" w:rsidRDefault="007275CF" w:rsidP="007A2887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9109EC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9109EC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9109EC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587" w:type="pct"/>
            <w:vAlign w:val="center"/>
          </w:tcPr>
          <w:p w:rsidR="007275CF" w:rsidRPr="008B425D" w:rsidRDefault="007275CF" w:rsidP="007A2887">
            <w:pPr>
              <w:pStyle w:val="rvps12"/>
              <w:spacing w:before="0"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</w:t>
            </w:r>
          </w:p>
        </w:tc>
      </w:tr>
      <w:tr w:rsidR="007275CF" w:rsidRPr="00BF518A" w:rsidTr="007A2887">
        <w:trPr>
          <w:trHeight w:val="1238"/>
          <w:jc w:val="center"/>
        </w:trPr>
        <w:tc>
          <w:tcPr>
            <w:tcW w:w="221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912" w:type="pct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8B425D">
              <w:rPr>
                <w:sz w:val="23"/>
                <w:szCs w:val="23"/>
                <w:lang w:val="uk-UA"/>
              </w:rPr>
              <w:t xml:space="preserve">Сумарні витрати суб’єктів господарювання середнього підприємництва, на виконання регулювання (вартість регулювання) (рядок </w:t>
            </w:r>
            <w:r>
              <w:rPr>
                <w:sz w:val="23"/>
                <w:szCs w:val="23"/>
                <w:lang w:val="uk-UA"/>
              </w:rPr>
              <w:t>3</w:t>
            </w:r>
            <w:r w:rsidRPr="008B425D">
              <w:rPr>
                <w:sz w:val="23"/>
                <w:szCs w:val="23"/>
                <w:lang w:val="uk-UA"/>
              </w:rPr>
              <w:t xml:space="preserve"> х рядок </w:t>
            </w:r>
            <w:r>
              <w:rPr>
                <w:sz w:val="23"/>
                <w:szCs w:val="23"/>
                <w:lang w:val="uk-UA"/>
              </w:rPr>
              <w:t>4</w:t>
            </w:r>
            <w:r w:rsidRPr="008B425D">
              <w:rPr>
                <w:sz w:val="23"/>
                <w:szCs w:val="23"/>
                <w:lang w:val="uk-UA"/>
              </w:rPr>
              <w:t xml:space="preserve">), </w:t>
            </w:r>
            <w:r>
              <w:rPr>
                <w:sz w:val="23"/>
                <w:szCs w:val="23"/>
                <w:lang w:val="uk-UA"/>
              </w:rPr>
              <w:t>грн.</w:t>
            </w:r>
          </w:p>
        </w:tc>
        <w:tc>
          <w:tcPr>
            <w:tcW w:w="515" w:type="pct"/>
            <w:vAlign w:val="center"/>
          </w:tcPr>
          <w:p w:rsidR="007275CF" w:rsidRPr="0088733B" w:rsidRDefault="007275CF" w:rsidP="007A2887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393,60</w:t>
            </w:r>
          </w:p>
        </w:tc>
        <w:tc>
          <w:tcPr>
            <w:tcW w:w="442" w:type="pct"/>
            <w:vAlign w:val="center"/>
          </w:tcPr>
          <w:p w:rsidR="007275CF" w:rsidRDefault="007275CF" w:rsidP="007A2887">
            <w:pPr>
              <w:jc w:val="center"/>
            </w:pPr>
            <w:r w:rsidRPr="00D27E57">
              <w:rPr>
                <w:sz w:val="23"/>
                <w:szCs w:val="23"/>
                <w:lang w:val="ru-RU"/>
              </w:rPr>
              <w:t>393,60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D27E57">
              <w:rPr>
                <w:sz w:val="23"/>
                <w:szCs w:val="23"/>
                <w:lang w:val="ru-RU"/>
              </w:rPr>
              <w:t>393,60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D27E57">
              <w:rPr>
                <w:sz w:val="23"/>
                <w:szCs w:val="23"/>
                <w:lang w:val="ru-RU"/>
              </w:rPr>
              <w:t>393,60</w:t>
            </w:r>
          </w:p>
        </w:tc>
        <w:tc>
          <w:tcPr>
            <w:tcW w:w="441" w:type="pct"/>
            <w:vAlign w:val="center"/>
          </w:tcPr>
          <w:p w:rsidR="007275CF" w:rsidRDefault="007275CF" w:rsidP="007A2887">
            <w:pPr>
              <w:jc w:val="center"/>
            </w:pPr>
            <w:r w:rsidRPr="00D27E57">
              <w:rPr>
                <w:sz w:val="23"/>
                <w:szCs w:val="23"/>
                <w:lang w:val="ru-RU"/>
              </w:rPr>
              <w:t>393,60</w:t>
            </w:r>
          </w:p>
        </w:tc>
        <w:tc>
          <w:tcPr>
            <w:tcW w:w="587" w:type="pct"/>
            <w:vAlign w:val="center"/>
          </w:tcPr>
          <w:p w:rsidR="007275CF" w:rsidRPr="008B425D" w:rsidRDefault="007275CF" w:rsidP="007A2887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1968,00</w:t>
            </w:r>
          </w:p>
        </w:tc>
      </w:tr>
    </w:tbl>
    <w:p w:rsidR="007275CF" w:rsidRPr="00534A4B" w:rsidRDefault="007275CF" w:rsidP="007275CF">
      <w:pPr>
        <w:jc w:val="both"/>
        <w:rPr>
          <w:color w:val="000000"/>
        </w:rPr>
      </w:pPr>
      <w:r w:rsidRPr="00534A4B">
        <w:rPr>
          <w:color w:val="000000"/>
        </w:rPr>
        <w:t xml:space="preserve">* </w:t>
      </w:r>
      <w:r>
        <w:rPr>
          <w:color w:val="000000"/>
        </w:rPr>
        <w:t>з</w:t>
      </w:r>
      <w:r w:rsidRPr="00667125">
        <w:rPr>
          <w:color w:val="000000"/>
        </w:rPr>
        <w:t xml:space="preserve">а даними </w:t>
      </w:r>
      <w:r>
        <w:t xml:space="preserve">обліку департаменту економіки, фінансів та міського бюджету Дніпровської міської ради за </w:t>
      </w:r>
      <w:r w:rsidRPr="00813178">
        <w:t>2017</w:t>
      </w:r>
      <w:r>
        <w:t xml:space="preserve"> рік</w:t>
      </w:r>
      <w:r w:rsidRPr="00813178">
        <w:t>.</w:t>
      </w:r>
    </w:p>
    <w:p w:rsidR="007275CF" w:rsidRPr="000B4565" w:rsidRDefault="007275CF" w:rsidP="007275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552D4">
        <w:rPr>
          <w:lang w:val="uk-UA"/>
        </w:rPr>
        <w:t xml:space="preserve">** </w:t>
      </w:r>
      <w:r w:rsidRPr="000B4565">
        <w:rPr>
          <w:rFonts w:ascii="Times New Roman" w:hAnsi="Times New Roman"/>
          <w:color w:val="000000"/>
          <w:sz w:val="24"/>
          <w:szCs w:val="24"/>
          <w:lang w:val="uk-UA" w:eastAsia="ru-RU"/>
        </w:rPr>
        <w:t>згідно ст. 8 Закону України «Про Державний бюджет України на 2018 рік».</w:t>
      </w:r>
    </w:p>
    <w:p w:rsidR="00413A0A" w:rsidRDefault="00413A0A"/>
    <w:sectPr w:rsidR="0041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50F"/>
    <w:multiLevelType w:val="hybridMultilevel"/>
    <w:tmpl w:val="79FE9614"/>
    <w:lvl w:ilvl="0" w:tplc="E4D2F13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F"/>
    <w:rsid w:val="00413A0A"/>
    <w:rsid w:val="007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A16B"/>
  <w15:chartTrackingRefBased/>
  <w15:docId w15:val="{8FE60352-25C4-4B78-AE63-9224A3E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275CF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7275CF"/>
  </w:style>
  <w:style w:type="paragraph" w:customStyle="1" w:styleId="rvps2">
    <w:name w:val="rvps2"/>
    <w:basedOn w:val="a"/>
    <w:rsid w:val="007275CF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7275CF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7275C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7275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2018-05-21T06:29:00Z</dcterms:created>
  <dcterms:modified xsi:type="dcterms:W3CDTF">2018-05-21T06:30:00Z</dcterms:modified>
</cp:coreProperties>
</file>