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26" w:rsidRPr="002C3C26" w:rsidRDefault="002C3C26" w:rsidP="002C3C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bookmarkStart w:id="0" w:name="_GoBack"/>
      <w:r w:rsidRPr="002C3C26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Інформація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про підсумки виконання бюджету міста і міського бюджету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за 2014 рік</w:t>
      </w:r>
    </w:p>
    <w:bookmarkEnd w:id="0"/>
    <w:p w:rsidR="00D22586" w:rsidRPr="002C3C26" w:rsidRDefault="002C3C26" w:rsidP="002C3C26"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Фінансово-економічний департамент Дніпропетровської міської ради відзначає, що за 2014 рік до </w:t>
      </w:r>
      <w:r w:rsidRPr="002C3C26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uk-UA"/>
        </w:rPr>
        <w:t>загального фонду бюджету</w:t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міста надійшло </w:t>
      </w:r>
      <w:r w:rsidRPr="002C3C26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uk-UA"/>
        </w:rPr>
        <w:t>власних доходів</w:t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 у сумі 2069,9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міського бюджету – 1130,4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що становить 98,8% та 99,1% до плану, недоотримано доходів у сумі 24,5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та 10,8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відповідно.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У порівнянні з 2013 роком власні надходження до загального фонду бюджету міста збільшилися на 54,5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(2,7%), до міського бюджету – скоротилися на 43,7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(3,7%).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З </w:t>
      </w:r>
      <w:r w:rsidRPr="002C3C26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uk-UA"/>
        </w:rPr>
        <w:t>урахуванням офіційних трансфертів</w:t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 до загального фонду бюджету міста надійшло 3109,6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міського бюджету – 2170,1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., що становить 98,1% та 97,9% до плану.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Основна причина невиконання показників бюджету – це не досягнення, як і в минулому році,  темпів росту показників бюджету міста на 2014 рік у порівнянні з фактичними надходженнями у 2013 році по доходах, що враховуються при визначенні міжбюджетних трансфертів, доведених місту Міністерством фінансів України (по місту вони розраховані з ростом 5,0%, фактичний – 4,7%).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З цієї причини за 2014 рік не виконанні показники Міністерства фінансів України по доходах, що враховуються при визначенні міжбюджетних трансфертів, на 0,3%, недоотримано 4,6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(показники МФУ – 1342,0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надійшло – 1337,4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.).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Не забезпечено виконання власних надходжень дохідної частини загального фонду бюджету  всіма районами у місті, крім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Красногвардійського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 та Самарського районів у місті.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Основні суми не виконання планових призначень допущені по: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 - податку на доходи фізичних осіб – на 16,4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або 1,2%, оскільки не вдалося досягти запланованого росту надходжень, а також через наявність податкового боргу станом на 01.01.2015– 7,7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заборгованості по несплаченій заробітній платі працюючим на госпрозрахункових підприємствах і організаціях міста (за станом 01.01.2015-  у сумі 68,7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.) тощо.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Крім того, на невиконання планових показників вплинуло зменшення надходжень податку на доходи фізичних осіб у 2014 році у порівнянні з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2013 роком від великих підприємств: ТОВ «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Комфі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Трейд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» - на 72,1% (на 9,6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.), ВО «Південний машинобудівний завод ім. О.М. Макарова» - на 33,6% (6,4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.),  ПАТ «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Дніпроважмаш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» - на 15,7% (2,5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.), ПАТ «А-Банк» - на 30,4% (1,5 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.), ВАТ «Інтерпайп НТЗ» - на 7,8% (1,8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.), ПАТ «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Веста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 – Дніпро» - на 97,1%  (1,6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.)  тощо;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- по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платежах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 плати за землю - на 6,0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або 0,9% через наявність податкового боргу станом на 01.01.2015 – 83,5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тощо;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- по податку на прибуток підприємств та фінансових установ комунальної власності – на 5,0 млн. грн. або 13,1% з причини погіршення результатів фінансово-господарської діяльності підприємств, що надають житлово-комунальні послуги населенню, наявності податкового боргу на 01.01.2015 в сумі 1,1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та ін.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- по адміністративних штрафах та інших санкціях – на  0,7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млн.грн.або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 38,2%через збільшення обсягу штрафів з мінімальним розміром, які накладаються адміністративними комісіями при виконкомах міської та районних у місті рад.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При запланованих обсягах власних надходжень до </w:t>
      </w:r>
      <w:r w:rsidRPr="002C3C26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uk-UA"/>
        </w:rPr>
        <w:t>спеціального фонду</w:t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 бюджету міста на 2014рік у сумі 447,7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надійшло доходів у сумі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487,0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до міського бюджету – при плані 365,1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надійшло – 401,4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., виконання плану становило 108,8% та 110,0% відповідно.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З урахуванням офіційних трансфертів до спеціального фонду бюджету міста надійшло 902,6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міського бюджету – 817,0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., що становить 56,9% та 54,4% до плану.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uk-UA"/>
        </w:rPr>
        <w:t>Бюджет розвитку </w:t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при запланованих на 2014 рік обсягах надходжень доходів у сумі 298,1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виконано на 114,2% (надійшло 340,3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.), у тому числі: по єдиному податку – на 116,1% (надійшло 313,3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.), по надходженнях від продажу землі – на 18,0% (2,2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.), по відчуженню майна, що перебуває у комунальній власності – на 197,9% (8,1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.), по надходженнях коштів пайової участі у розвитку інфраструктури населеного пункту – на 131,1% (14,4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.), по податку на нерухоме майно, відмінне від земельної ділянки – на 279,9% (2,3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.).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lastRenderedPageBreak/>
        <w:t xml:space="preserve">Збору за першу реєстрацію транспортного засобу надійшло у сумі 3,1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., або 46,6% до плану.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uk-UA"/>
        </w:rPr>
        <w:t>Екологічного податку </w:t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надійшло у сумі 25,2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при плані 27,8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., або 90,7%.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uk-UA"/>
        </w:rPr>
        <w:t>Власні надходження бюджетних установ </w:t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(кошти від надання платних послуг та інші джерела) виконані у сумі 111,5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при плані 109,9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., або на 101,4%.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До </w:t>
      </w:r>
      <w:r w:rsidRPr="002C3C26">
        <w:rPr>
          <w:rFonts w:ascii="Arial" w:eastAsia="Times New Roman" w:hAnsi="Arial" w:cs="Arial"/>
          <w:b/>
          <w:bCs/>
          <w:i/>
          <w:iCs/>
          <w:sz w:val="21"/>
          <w:szCs w:val="21"/>
          <w:shd w:val="clear" w:color="auto" w:fill="FFFFFF"/>
          <w:lang w:eastAsia="uk-UA"/>
        </w:rPr>
        <w:t>цільового фонду</w:t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 при плані на рік 3,6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надійшло коштів у сумі 3,9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або 109,0% до плану, з них коштів, отриманих від надходжень 60,0% частини прибутку, яка залишається в розпорядженні підприємств комунальної власності територіальної громади міста після оподаткування відповідно до чинного законодавства – 4,6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плати за виготовлення бланків і видачу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свідоцтв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 про право власності на житлове (житлові) приміщення у гуртожитках – 17,9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тис.грн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та у поточному році було здійснено повернення помилково зарахованої суми у минулих роках  - 0,7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Фінансування видатків протягом 2014 року здійснювалось відповідно до планових призначень, затверджених розписами міського бюджету та бюджетів районів у місті на 2014 рік. Обсяг </w:t>
      </w:r>
      <w:r w:rsidRPr="002C3C26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uk-UA"/>
        </w:rPr>
        <w:t>видатків загального та спеціального фондів бюджету міста, </w:t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з урахуванням трансфертів, отриманих з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вищестоящих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бюджетів,за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 звітний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періодстановив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 3824,1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міського бюджету – 2839,3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., планові показники виконані на 74,8% та 69,7% до річного плану відповідно.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У порівнянні з 2013 роком видатки бюджету міста збільшились на 9,8% (343,4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.), міського бюджету  – на 13,0% (326,0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.).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По </w:t>
      </w:r>
      <w:r w:rsidRPr="002C3C26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uk-UA"/>
        </w:rPr>
        <w:t>загальному фонду</w:t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 видаткову частину бюджету міста виконано в обсязі 3077,9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що становить 93,5% до плану, міського бюджету – в обсязі 2150,7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(92,6% до плану).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По </w:t>
      </w:r>
      <w:r w:rsidRPr="002C3C26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uk-UA"/>
        </w:rPr>
        <w:t>спеціальному фонду</w:t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виконання становило по бюджету міста –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746,2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по міському бюджету – 688,6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(41,1% та 39,4% відповідно до плану на рік).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Протягом 2014 року, у першочерговому порядку, забезпечувалося фінансування, в межах асигнувань розпису бюджету, </w:t>
      </w:r>
      <w:r w:rsidRPr="002C3C26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uk-UA"/>
        </w:rPr>
        <w:t>захищених видатків</w:t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, а саме: виплату заробітної плати працівникам, придбання медикаментів та продуктів харчування, оплату спожитих енергоносіїв та комунальних послуг бюджетними установами і закладами. За 2014 рік із загального фонду бюджету міста на оплату цих видатків спрямовано  2478,5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., що становить 80,5 % до загального обсягу видатків бюджету міста, з них: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- 1236,3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було направлено на виплату заробітної плати працівникам бюджетної сфери, що становить 40,2% від загального обсягу видатків загального фонду бюджету (виплата заробітної плати працівникам здійснювалась своєчасно без утворення заборгованості);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- 940,3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(30,6%) – на проведення соціальних виплат населенню (пільг, субсидій, допомог);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- 185,1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(6,0%) - на оплату енергоносіїв, у тому числі на оплату теплопостачання – 105,4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водопостачання – 7,9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електричної енергії – 48,7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природного газу – 23,1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(на 01.01.2015 утворилась заборгованість по цих видатках у сумі 12,6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з них теплопостачання – 10,3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 водопостачання – 0,2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електрична енергія – 0,4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природний газ – 1,7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У порівнянні з початком року заборгованість з оплати видатків за спожиті енергоносії збільшилась на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3,1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.);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- 74,1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(2,4%) - на придбання продуктів харчування закладами бюджетної сфери, із яких на забезпечення харчуванням дітей у закладах освіти було витрачено 69,2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.;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- 18,3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(0,6%) - на придбання медикаментів закладами бюджетної сфери, із яких центрами первинної медико-санітарної допомоги витрачено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17,8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Найбільшу питому вагу у загальному обсязі видатків бюджету міста –  67,5% (2581,1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.) становили видатки на утримання установ та закладів соціально-культурної сфери та на соціальний захист населення, з них видатки по галузях: освіта – 1183,8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(30,9%), соціальний захист населення –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987,4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(25,8%), охорона здоров’я – 227,9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(6,0%), культура –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125,8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(3,3%), фізична культура і спорт – 56,2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(1,5%).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На житлово-комунальне господарство спрямовано 659,8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що становить 17,3 % від загального обсягу видатків, на транспорт – 203,4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(5,3%), надання субвенції обласному бюджету на виконання інвестиційних проектів – 31,9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(0,8%) та перерахування коштів до державного бюджету (вилучення) – 33,9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(0,9%).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lastRenderedPageBreak/>
        <w:t xml:space="preserve">Внески органів місцевого самоврядування у статутні фонди комунальних підприємств міста у 2014 році становили  75,4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(2,0%), з них: КП „Управління по ремонту та експлуатації автошляхів” міської ради – 30,9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., КП ТПТЕ „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Теплотранс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” міської ради  – 25,9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., КП „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Дніпроводоканал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” міської ради – 18,3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, КП „Поводження з безпритульними тваринами” міської ради – 0,3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Через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непроведення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 територіальними органами Державної казначейської служби України у Дніпропетровській області платежів у повному обсязі до наданих розпорядниками та одержувачами бюджетних коштів платіжних доручень, при наявності у розпорядників та одержувачів коштів на рахунках, на 01.01.2015утворилась заборгованість, що зареєстрована територіальними органами Державної казначейської служби України, у загальній сумі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 233,6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., у тому числі: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- по загальному фонду – 75,0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що на 28,5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менше ніж на початок 2014 року (на 01.01.2014 – 103,5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.);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- по спеціальному фонду – 158,6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., що на 11,3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менше ніж на початок року (на 01.04.2014 – 169,9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.), у тому числі 127,2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. - це заборгованість по видатках, що здійснювались за рахунок коштів субвенції з державного бюджету на будівництво автомобільної дороги на ділянці від вул.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Кайдацький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 шлях до автомобільної дороги Київ-Луганськ-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Ізварине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, з них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100,6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млн.грн</w:t>
      </w:r>
      <w:proofErr w:type="spellEnd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 – це заборгованість за 2012 рік (кошти субвенції з державного бюджету на погашення цієї заборгованості не надходили).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Директор фінансово-економічного</w:t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 xml:space="preserve">департаменту міської ради                                                              </w:t>
      </w:r>
      <w:proofErr w:type="spellStart"/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І.П.Дробітько</w:t>
      </w:r>
      <w:proofErr w:type="spellEnd"/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Дивіться також  </w:t>
      </w:r>
      <w:hyperlink r:id="rId4" w:history="1">
        <w:r w:rsidRPr="002C3C26">
          <w:rPr>
            <w:rFonts w:ascii="Arial" w:eastAsia="Times New Roman" w:hAnsi="Arial" w:cs="Arial"/>
            <w:sz w:val="21"/>
            <w:szCs w:val="21"/>
            <w:u w:val="single"/>
            <w:shd w:val="clear" w:color="auto" w:fill="FFFFFF"/>
            <w:lang w:eastAsia="uk-UA"/>
          </w:rPr>
          <w:t>Виконання дохідної частини  міського бюджету м. Дніпропетровська  за  2014 рік</w:t>
        </w:r>
      </w:hyperlink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та </w:t>
      </w:r>
      <w:hyperlink r:id="rId5" w:history="1">
        <w:r w:rsidRPr="002C3C26">
          <w:rPr>
            <w:rFonts w:ascii="Arial" w:eastAsia="Times New Roman" w:hAnsi="Arial" w:cs="Arial"/>
            <w:sz w:val="21"/>
            <w:szCs w:val="21"/>
            <w:u w:val="single"/>
            <w:shd w:val="clear" w:color="auto" w:fill="FFFFFF"/>
            <w:lang w:eastAsia="uk-UA"/>
          </w:rPr>
          <w:t>Виконання видаткової частини  бюджету м. Дніпропетровська за 2014 рік</w:t>
        </w:r>
      </w:hyperlink>
      <w:r w:rsidRPr="002C3C26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.</w:t>
      </w:r>
    </w:p>
    <w:sectPr w:rsidR="00D22586" w:rsidRPr="002C3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26"/>
    <w:rsid w:val="002C3C26"/>
    <w:rsid w:val="00D2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F4DA4-D50F-4564-BC4A-A0BD4133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C3C26"/>
    <w:rPr>
      <w:b/>
      <w:bCs/>
    </w:rPr>
  </w:style>
  <w:style w:type="character" w:styleId="a5">
    <w:name w:val="Emphasis"/>
    <w:basedOn w:val="a0"/>
    <w:uiPriority w:val="20"/>
    <w:qFormat/>
    <w:rsid w:val="002C3C26"/>
    <w:rPr>
      <w:i/>
      <w:iCs/>
    </w:rPr>
  </w:style>
  <w:style w:type="character" w:styleId="a6">
    <w:name w:val="Hyperlink"/>
    <w:basedOn w:val="a0"/>
    <w:uiPriority w:val="99"/>
    <w:semiHidden/>
    <w:unhideWhenUsed/>
    <w:rsid w:val="002C3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iprorada.gov.ua/old/files/budget2014_vidatki.xls" TargetMode="External"/><Relationship Id="rId4" Type="http://schemas.openxmlformats.org/officeDocument/2006/relationships/hyperlink" Target="https://dniprorada.gov.ua/old/files/budget2014_dohid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6608</Words>
  <Characters>3768</Characters>
  <Application>Microsoft Office Word</Application>
  <DocSecurity>0</DocSecurity>
  <Lines>31</Lines>
  <Paragraphs>20</Paragraphs>
  <ScaleCrop>false</ScaleCrop>
  <Company>Дніпровська міська рада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Олександрівна Петренко</dc:creator>
  <cp:keywords/>
  <dc:description/>
  <cp:lastModifiedBy>Анастасія Олександрівна Петренко</cp:lastModifiedBy>
  <cp:revision>2</cp:revision>
  <dcterms:created xsi:type="dcterms:W3CDTF">2021-04-02T13:07:00Z</dcterms:created>
  <dcterms:modified xsi:type="dcterms:W3CDTF">2021-04-02T13:07:00Z</dcterms:modified>
</cp:coreProperties>
</file>