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65" w:rsidRPr="00C83ED7" w:rsidRDefault="00053A65" w:rsidP="00053A65">
      <w:pPr>
        <w:jc w:val="center"/>
        <w:rPr>
          <w:b/>
          <w:sz w:val="28"/>
          <w:szCs w:val="28"/>
        </w:rPr>
      </w:pPr>
      <w:r w:rsidRPr="00C83ED7">
        <w:rPr>
          <w:b/>
          <w:sz w:val="28"/>
          <w:szCs w:val="28"/>
        </w:rPr>
        <w:t>З В І Т</w:t>
      </w:r>
    </w:p>
    <w:p w:rsidR="00053A65" w:rsidRPr="00C83ED7" w:rsidRDefault="00053A65" w:rsidP="00053A65">
      <w:pPr>
        <w:jc w:val="center"/>
        <w:rPr>
          <w:sz w:val="28"/>
          <w:szCs w:val="28"/>
        </w:rPr>
      </w:pPr>
      <w:r w:rsidRPr="00C83ED7">
        <w:rPr>
          <w:b/>
          <w:sz w:val="28"/>
          <w:szCs w:val="28"/>
        </w:rPr>
        <w:t xml:space="preserve">про </w:t>
      </w:r>
      <w:r w:rsidR="00505620" w:rsidRPr="00C83ED7">
        <w:rPr>
          <w:b/>
          <w:sz w:val="28"/>
          <w:szCs w:val="28"/>
        </w:rPr>
        <w:t>базове</w:t>
      </w:r>
      <w:r w:rsidRPr="00C83ED7">
        <w:rPr>
          <w:b/>
          <w:sz w:val="28"/>
          <w:szCs w:val="28"/>
        </w:rPr>
        <w:t xml:space="preserve"> відстеження результативності </w:t>
      </w:r>
      <w:r w:rsidR="0021651D" w:rsidRPr="0008424B">
        <w:rPr>
          <w:b/>
          <w:sz w:val="28"/>
          <w:szCs w:val="28"/>
        </w:rPr>
        <w:t>проекту</w:t>
      </w:r>
      <w:r w:rsidR="0021651D">
        <w:rPr>
          <w:b/>
          <w:sz w:val="28"/>
          <w:szCs w:val="28"/>
        </w:rPr>
        <w:t xml:space="preserve"> </w:t>
      </w:r>
      <w:r w:rsidRPr="008755CC">
        <w:rPr>
          <w:b/>
          <w:sz w:val="28"/>
          <w:szCs w:val="28"/>
        </w:rPr>
        <w:t>регуляторного акта</w:t>
      </w:r>
    </w:p>
    <w:p w:rsidR="00053A65" w:rsidRPr="00C83ED7" w:rsidRDefault="00053A65" w:rsidP="00053A65">
      <w:pPr>
        <w:jc w:val="both"/>
        <w:rPr>
          <w:sz w:val="28"/>
          <w:szCs w:val="28"/>
        </w:rPr>
      </w:pPr>
    </w:p>
    <w:p w:rsidR="00053A65" w:rsidRPr="00C83ED7" w:rsidRDefault="003F0156" w:rsidP="00221607">
      <w:pPr>
        <w:spacing w:after="120"/>
        <w:ind w:firstLine="567"/>
        <w:jc w:val="both"/>
        <w:rPr>
          <w:sz w:val="28"/>
          <w:szCs w:val="28"/>
        </w:rPr>
      </w:pPr>
      <w:r w:rsidRPr="00C83ED7">
        <w:rPr>
          <w:b/>
          <w:sz w:val="28"/>
          <w:szCs w:val="28"/>
        </w:rPr>
        <w:t>1.</w:t>
      </w:r>
      <w:r w:rsidR="00053A65" w:rsidRPr="00C83ED7">
        <w:rPr>
          <w:b/>
          <w:sz w:val="28"/>
          <w:szCs w:val="28"/>
        </w:rPr>
        <w:t xml:space="preserve"> </w:t>
      </w:r>
      <w:r w:rsidR="00933713" w:rsidRPr="00C83ED7">
        <w:rPr>
          <w:b/>
          <w:sz w:val="28"/>
          <w:szCs w:val="28"/>
        </w:rPr>
        <w:t>Вид та назва регуляторного акта</w:t>
      </w:r>
      <w:r w:rsidR="00053A65" w:rsidRPr="00C83ED7">
        <w:rPr>
          <w:b/>
          <w:sz w:val="28"/>
          <w:szCs w:val="28"/>
        </w:rPr>
        <w:t>:</w:t>
      </w:r>
      <w:r w:rsidR="000E4F28" w:rsidRPr="00C83ED7">
        <w:t xml:space="preserve"> </w:t>
      </w:r>
      <w:r w:rsidR="0021651D" w:rsidRPr="0008424B">
        <w:rPr>
          <w:sz w:val="28"/>
          <w:szCs w:val="28"/>
        </w:rPr>
        <w:t xml:space="preserve">проект </w:t>
      </w:r>
      <w:r w:rsidR="000E4F28" w:rsidRPr="0008424B">
        <w:rPr>
          <w:sz w:val="28"/>
          <w:szCs w:val="28"/>
        </w:rPr>
        <w:t>регуляторн</w:t>
      </w:r>
      <w:r w:rsidR="0021651D" w:rsidRPr="0008424B">
        <w:rPr>
          <w:sz w:val="28"/>
          <w:szCs w:val="28"/>
        </w:rPr>
        <w:t>ого</w:t>
      </w:r>
      <w:r w:rsidR="000E4F28" w:rsidRPr="0008424B">
        <w:rPr>
          <w:sz w:val="28"/>
          <w:szCs w:val="28"/>
        </w:rPr>
        <w:t xml:space="preserve"> акт</w:t>
      </w:r>
      <w:r w:rsidR="0021651D" w:rsidRPr="0008424B">
        <w:rPr>
          <w:sz w:val="28"/>
          <w:szCs w:val="28"/>
        </w:rPr>
        <w:t>а</w:t>
      </w:r>
      <w:r w:rsidR="000E4F28" w:rsidRPr="0008424B">
        <w:rPr>
          <w:sz w:val="28"/>
          <w:szCs w:val="28"/>
        </w:rPr>
        <w:t xml:space="preserve"> </w:t>
      </w:r>
      <w:r w:rsidR="0021651D" w:rsidRPr="0008424B">
        <w:rPr>
          <w:sz w:val="28"/>
          <w:szCs w:val="28"/>
        </w:rPr>
        <w:t>–</w:t>
      </w:r>
      <w:r w:rsidR="000E4F28" w:rsidRPr="0008424B">
        <w:rPr>
          <w:sz w:val="28"/>
          <w:szCs w:val="28"/>
        </w:rPr>
        <w:t xml:space="preserve"> </w:t>
      </w:r>
      <w:r w:rsidR="0021651D" w:rsidRPr="0008424B">
        <w:rPr>
          <w:sz w:val="28"/>
          <w:szCs w:val="28"/>
        </w:rPr>
        <w:t>проект</w:t>
      </w:r>
      <w:r w:rsidR="0021651D">
        <w:rPr>
          <w:sz w:val="28"/>
          <w:szCs w:val="28"/>
        </w:rPr>
        <w:t xml:space="preserve"> </w:t>
      </w:r>
      <w:r w:rsidR="000E4F28" w:rsidRPr="008755CC">
        <w:rPr>
          <w:sz w:val="28"/>
          <w:szCs w:val="28"/>
        </w:rPr>
        <w:t>рішення міської</w:t>
      </w:r>
      <w:r w:rsidR="000E4F28" w:rsidRPr="00C83ED7">
        <w:rPr>
          <w:sz w:val="28"/>
          <w:szCs w:val="28"/>
        </w:rPr>
        <w:t xml:space="preserve"> ради «</w:t>
      </w:r>
      <w:r w:rsidR="00261E32" w:rsidRPr="00C83ED7">
        <w:rPr>
          <w:sz w:val="28"/>
          <w:szCs w:val="28"/>
        </w:rPr>
        <w:t>Про затвердження Порядку передачі об’єктів (елементів) благоустрою м. Дніпра в тимчасове використання не за функціональним призначенням для здійснення господарської діяльності у сфері споживчого ринку та послуг</w:t>
      </w:r>
      <w:r w:rsidR="000E4F28" w:rsidRPr="00C83ED7">
        <w:rPr>
          <w:sz w:val="28"/>
          <w:szCs w:val="28"/>
        </w:rPr>
        <w:t>»</w:t>
      </w:r>
      <w:r w:rsidR="00053A65" w:rsidRPr="00C83ED7">
        <w:rPr>
          <w:sz w:val="28"/>
          <w:szCs w:val="28"/>
        </w:rPr>
        <w:t>.</w:t>
      </w:r>
    </w:p>
    <w:p w:rsidR="00053A65" w:rsidRPr="00C83ED7" w:rsidRDefault="00053A65" w:rsidP="00221607">
      <w:pPr>
        <w:spacing w:after="120"/>
        <w:ind w:firstLine="567"/>
        <w:jc w:val="both"/>
        <w:rPr>
          <w:b/>
          <w:sz w:val="28"/>
          <w:szCs w:val="28"/>
        </w:rPr>
      </w:pPr>
      <w:r w:rsidRPr="00C83ED7">
        <w:rPr>
          <w:b/>
          <w:sz w:val="28"/>
          <w:szCs w:val="28"/>
        </w:rPr>
        <w:t>2.  Назва виконавця заходів з відстеження:</w:t>
      </w:r>
      <w:r w:rsidR="00007423" w:rsidRPr="00C83ED7">
        <w:rPr>
          <w:b/>
          <w:sz w:val="28"/>
          <w:szCs w:val="28"/>
        </w:rPr>
        <w:t xml:space="preserve"> </w:t>
      </w:r>
      <w:r w:rsidR="00007423" w:rsidRPr="00C83ED7">
        <w:rPr>
          <w:sz w:val="28"/>
          <w:szCs w:val="28"/>
        </w:rPr>
        <w:t>і</w:t>
      </w:r>
      <w:r w:rsidR="00C5438A" w:rsidRPr="00C83ED7">
        <w:rPr>
          <w:sz w:val="28"/>
          <w:szCs w:val="28"/>
        </w:rPr>
        <w:t>нспекці</w:t>
      </w:r>
      <w:r w:rsidR="000112C8" w:rsidRPr="00C83ED7">
        <w:rPr>
          <w:sz w:val="28"/>
          <w:szCs w:val="28"/>
          <w:lang w:val="ru-RU"/>
        </w:rPr>
        <w:t>я</w:t>
      </w:r>
      <w:r w:rsidR="00C5438A" w:rsidRPr="00C83ED7">
        <w:rPr>
          <w:sz w:val="28"/>
          <w:szCs w:val="28"/>
        </w:rPr>
        <w:t xml:space="preserve"> з питань благо</w:t>
      </w:r>
      <w:r w:rsidR="003452CF" w:rsidRPr="00C83ED7">
        <w:rPr>
          <w:sz w:val="28"/>
          <w:szCs w:val="28"/>
          <w:lang w:val="ru-RU"/>
        </w:rPr>
        <w:t>-</w:t>
      </w:r>
      <w:r w:rsidR="00C5438A" w:rsidRPr="00C83ED7">
        <w:rPr>
          <w:sz w:val="28"/>
          <w:szCs w:val="28"/>
        </w:rPr>
        <w:t>устрою</w:t>
      </w:r>
      <w:r w:rsidRPr="00C83ED7">
        <w:rPr>
          <w:sz w:val="28"/>
          <w:szCs w:val="28"/>
        </w:rPr>
        <w:t xml:space="preserve"> Дніпровської міської ради. </w:t>
      </w:r>
    </w:p>
    <w:p w:rsidR="00053A65" w:rsidRDefault="00053A65" w:rsidP="00221607">
      <w:pPr>
        <w:spacing w:after="120"/>
        <w:ind w:firstLine="567"/>
        <w:jc w:val="both"/>
        <w:rPr>
          <w:b/>
          <w:sz w:val="28"/>
          <w:szCs w:val="28"/>
        </w:rPr>
      </w:pPr>
      <w:r w:rsidRPr="009F6464">
        <w:rPr>
          <w:b/>
          <w:sz w:val="28"/>
          <w:szCs w:val="28"/>
        </w:rPr>
        <w:t>3.  Цілі прийняття акта</w:t>
      </w:r>
      <w:r w:rsidR="009F6464">
        <w:rPr>
          <w:b/>
          <w:sz w:val="28"/>
          <w:szCs w:val="28"/>
        </w:rPr>
        <w:t>:</w:t>
      </w:r>
    </w:p>
    <w:p w:rsidR="009F6464" w:rsidRDefault="009F6464" w:rsidP="00221607">
      <w:pPr>
        <w:spacing w:after="12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C356C8">
        <w:rPr>
          <w:bCs/>
          <w:iCs/>
          <w:spacing w:val="-4"/>
          <w:sz w:val="28"/>
          <w:szCs w:val="28"/>
        </w:rPr>
        <w:t xml:space="preserve"> встановлення </w:t>
      </w:r>
      <w:r w:rsidRPr="00C356C8">
        <w:rPr>
          <w:sz w:val="28"/>
          <w:szCs w:val="28"/>
        </w:rPr>
        <w:t xml:space="preserve">зонального розподілення території міста (історичний центр міста, червоні </w:t>
      </w:r>
      <w:r>
        <w:rPr>
          <w:sz w:val="28"/>
          <w:szCs w:val="28"/>
        </w:rPr>
        <w:t>лінії вулиць, інші території);</w:t>
      </w:r>
    </w:p>
    <w:p w:rsidR="009F6464" w:rsidRDefault="009F6464" w:rsidP="0022160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56C8">
        <w:rPr>
          <w:sz w:val="28"/>
          <w:szCs w:val="28"/>
        </w:rPr>
        <w:t xml:space="preserve"> </w:t>
      </w:r>
      <w:r w:rsidRPr="002B7BC8">
        <w:rPr>
          <w:sz w:val="28"/>
          <w:szCs w:val="28"/>
        </w:rPr>
        <w:t xml:space="preserve">застосування диференційованого підходу щодо визначення розміру оплати за тимчасове використання об'єктів (елементів) благоустрою м. Дніпра не за </w:t>
      </w:r>
      <w:r>
        <w:rPr>
          <w:sz w:val="28"/>
          <w:szCs w:val="28"/>
        </w:rPr>
        <w:t>функціональним</w:t>
      </w:r>
      <w:r w:rsidRPr="002B7BC8">
        <w:rPr>
          <w:sz w:val="28"/>
          <w:szCs w:val="28"/>
        </w:rPr>
        <w:t xml:space="preserve"> призначенням для здійснення господарської діяльності у сфері споживчого ринку та послуг, що перебувають у комунальній власності</w:t>
      </w:r>
      <w:r>
        <w:rPr>
          <w:sz w:val="28"/>
          <w:szCs w:val="28"/>
        </w:rPr>
        <w:t>;</w:t>
      </w:r>
    </w:p>
    <w:p w:rsidR="009F6464" w:rsidRDefault="009F6464" w:rsidP="0022160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встановлення розміру </w:t>
      </w:r>
      <w:r w:rsidRPr="002B7BC8">
        <w:rPr>
          <w:sz w:val="28"/>
          <w:szCs w:val="28"/>
        </w:rPr>
        <w:t>оплати за зберігання тимчасових споруд у випадку їх зберігання КП «Благоустрій міста» у разі здійснення примусового демонтажу.</w:t>
      </w:r>
    </w:p>
    <w:p w:rsidR="00053A65" w:rsidRPr="00C83ED7" w:rsidRDefault="00053A65" w:rsidP="00221607">
      <w:pPr>
        <w:spacing w:after="120"/>
        <w:ind w:firstLine="567"/>
        <w:jc w:val="both"/>
        <w:rPr>
          <w:sz w:val="28"/>
          <w:szCs w:val="28"/>
        </w:rPr>
      </w:pPr>
      <w:r w:rsidRPr="00C83ED7">
        <w:rPr>
          <w:b/>
          <w:sz w:val="28"/>
          <w:szCs w:val="28"/>
        </w:rPr>
        <w:t xml:space="preserve">4.  Строк виконання заходів з відстеження: </w:t>
      </w:r>
    </w:p>
    <w:p w:rsidR="00053A65" w:rsidRPr="00C83ED7" w:rsidRDefault="00053A65" w:rsidP="00221607">
      <w:pPr>
        <w:pStyle w:val="Standard"/>
        <w:tabs>
          <w:tab w:val="left" w:pos="737"/>
        </w:tabs>
        <w:spacing w:after="120"/>
        <w:ind w:firstLine="567"/>
        <w:jc w:val="both"/>
        <w:rPr>
          <w:b/>
          <w:sz w:val="28"/>
          <w:szCs w:val="28"/>
        </w:rPr>
      </w:pPr>
      <w:r w:rsidRPr="00C83ED7">
        <w:rPr>
          <w:sz w:val="28"/>
          <w:szCs w:val="28"/>
        </w:rPr>
        <w:tab/>
      </w:r>
      <w:r w:rsidR="00676B52" w:rsidRPr="009F6464">
        <w:rPr>
          <w:sz w:val="28"/>
          <w:szCs w:val="28"/>
        </w:rPr>
        <w:t xml:space="preserve">з </w:t>
      </w:r>
      <w:r w:rsidR="000830EF" w:rsidRPr="009F6464">
        <w:rPr>
          <w:color w:val="auto"/>
          <w:sz w:val="28"/>
          <w:szCs w:val="28"/>
          <w:lang w:val="ru-RU"/>
        </w:rPr>
        <w:t>0</w:t>
      </w:r>
      <w:r w:rsidR="00327112" w:rsidRPr="009F6464">
        <w:rPr>
          <w:color w:val="auto"/>
          <w:sz w:val="28"/>
          <w:szCs w:val="28"/>
          <w:lang w:val="ru-RU"/>
        </w:rPr>
        <w:t>3</w:t>
      </w:r>
      <w:r w:rsidR="006E61F2" w:rsidRPr="009F6464">
        <w:rPr>
          <w:color w:val="auto"/>
          <w:sz w:val="28"/>
          <w:szCs w:val="28"/>
        </w:rPr>
        <w:t>.</w:t>
      </w:r>
      <w:r w:rsidR="006E61F2" w:rsidRPr="009F6464">
        <w:rPr>
          <w:sz w:val="28"/>
          <w:szCs w:val="28"/>
        </w:rPr>
        <w:t>0</w:t>
      </w:r>
      <w:r w:rsidR="00753C0C" w:rsidRPr="009F6464">
        <w:rPr>
          <w:sz w:val="28"/>
          <w:szCs w:val="28"/>
        </w:rPr>
        <w:t>9</w:t>
      </w:r>
      <w:r w:rsidR="006E61F2" w:rsidRPr="009F6464">
        <w:rPr>
          <w:sz w:val="28"/>
          <w:szCs w:val="28"/>
        </w:rPr>
        <w:t>.201</w:t>
      </w:r>
      <w:r w:rsidR="003F0156" w:rsidRPr="009F6464">
        <w:rPr>
          <w:sz w:val="28"/>
          <w:szCs w:val="28"/>
        </w:rPr>
        <w:t>8</w:t>
      </w:r>
      <w:r w:rsidR="00A65601" w:rsidRPr="009F6464">
        <w:rPr>
          <w:sz w:val="28"/>
          <w:szCs w:val="28"/>
        </w:rPr>
        <w:t xml:space="preserve"> </w:t>
      </w:r>
      <w:r w:rsidR="00676B52" w:rsidRPr="009F6464">
        <w:rPr>
          <w:sz w:val="28"/>
          <w:szCs w:val="28"/>
        </w:rPr>
        <w:t xml:space="preserve">по </w:t>
      </w:r>
      <w:r w:rsidR="008755CC" w:rsidRPr="009F6464">
        <w:rPr>
          <w:sz w:val="28"/>
          <w:szCs w:val="28"/>
        </w:rPr>
        <w:t>15</w:t>
      </w:r>
      <w:r w:rsidR="00676B52" w:rsidRPr="009F6464">
        <w:rPr>
          <w:sz w:val="28"/>
          <w:szCs w:val="28"/>
        </w:rPr>
        <w:t>.</w:t>
      </w:r>
      <w:r w:rsidR="006E61F2" w:rsidRPr="009F6464">
        <w:rPr>
          <w:sz w:val="28"/>
          <w:szCs w:val="28"/>
        </w:rPr>
        <w:t>0</w:t>
      </w:r>
      <w:r w:rsidR="00753C0C" w:rsidRPr="009F6464">
        <w:rPr>
          <w:sz w:val="28"/>
          <w:szCs w:val="28"/>
          <w:lang w:val="ru-RU"/>
        </w:rPr>
        <w:t>9</w:t>
      </w:r>
      <w:r w:rsidR="00656150" w:rsidRPr="009F6464">
        <w:rPr>
          <w:sz w:val="28"/>
          <w:szCs w:val="28"/>
          <w:lang w:val="ru-RU"/>
        </w:rPr>
        <w:t>.</w:t>
      </w:r>
      <w:r w:rsidR="00676B52" w:rsidRPr="009F6464">
        <w:rPr>
          <w:sz w:val="28"/>
          <w:szCs w:val="28"/>
        </w:rPr>
        <w:t>201</w:t>
      </w:r>
      <w:r w:rsidR="003F0156" w:rsidRPr="009F6464">
        <w:rPr>
          <w:sz w:val="28"/>
          <w:szCs w:val="28"/>
        </w:rPr>
        <w:t>8</w:t>
      </w:r>
      <w:r w:rsidRPr="009F6464">
        <w:rPr>
          <w:sz w:val="28"/>
          <w:szCs w:val="28"/>
        </w:rPr>
        <w:t>.</w:t>
      </w:r>
    </w:p>
    <w:p w:rsidR="00053A65" w:rsidRPr="00C83ED7" w:rsidRDefault="00053A65" w:rsidP="00221607">
      <w:pPr>
        <w:pStyle w:val="Standard"/>
        <w:tabs>
          <w:tab w:val="left" w:pos="737"/>
        </w:tabs>
        <w:spacing w:after="120"/>
        <w:ind w:firstLine="567"/>
        <w:jc w:val="both"/>
        <w:rPr>
          <w:sz w:val="28"/>
          <w:szCs w:val="28"/>
        </w:rPr>
      </w:pPr>
      <w:r w:rsidRPr="00C83ED7">
        <w:rPr>
          <w:b/>
          <w:sz w:val="28"/>
          <w:szCs w:val="28"/>
        </w:rPr>
        <w:t xml:space="preserve">5.  Тип відстеження:  </w:t>
      </w:r>
      <w:r w:rsidR="00327112" w:rsidRPr="00C83ED7">
        <w:rPr>
          <w:sz w:val="28"/>
          <w:szCs w:val="28"/>
          <w:lang w:val="ru-RU"/>
        </w:rPr>
        <w:t>базове відстеження</w:t>
      </w:r>
      <w:r w:rsidRPr="00C83ED7">
        <w:rPr>
          <w:sz w:val="28"/>
          <w:szCs w:val="28"/>
        </w:rPr>
        <w:t>.</w:t>
      </w:r>
    </w:p>
    <w:p w:rsidR="00053A65" w:rsidRPr="00773A1D" w:rsidRDefault="001C3D79" w:rsidP="00221607">
      <w:pPr>
        <w:pStyle w:val="Standard"/>
        <w:tabs>
          <w:tab w:val="left" w:pos="737"/>
        </w:tabs>
        <w:spacing w:after="120"/>
        <w:ind w:firstLine="567"/>
        <w:jc w:val="both"/>
        <w:rPr>
          <w:sz w:val="28"/>
          <w:szCs w:val="28"/>
          <w:lang w:val="en-US"/>
        </w:rPr>
      </w:pPr>
      <w:r w:rsidRPr="00C83ED7">
        <w:rPr>
          <w:b/>
          <w:sz w:val="28"/>
          <w:szCs w:val="28"/>
        </w:rPr>
        <w:t>6.  Метод</w:t>
      </w:r>
      <w:r w:rsidR="00053A65" w:rsidRPr="00C83ED7">
        <w:rPr>
          <w:b/>
          <w:sz w:val="28"/>
          <w:szCs w:val="28"/>
        </w:rPr>
        <w:t xml:space="preserve"> одержання результатів відстеження: </w:t>
      </w:r>
      <w:r w:rsidR="00327112" w:rsidRPr="00C83ED7">
        <w:rPr>
          <w:color w:val="auto"/>
          <w:sz w:val="28"/>
          <w:szCs w:val="28"/>
        </w:rPr>
        <w:t xml:space="preserve">статистичний </w:t>
      </w:r>
      <w:r w:rsidR="00A52B90">
        <w:rPr>
          <w:color w:val="auto"/>
          <w:sz w:val="28"/>
          <w:szCs w:val="28"/>
        </w:rPr>
        <w:t xml:space="preserve">та </w:t>
      </w:r>
      <w:r w:rsidR="00A52B90" w:rsidRPr="009C5AFE">
        <w:rPr>
          <w:color w:val="auto"/>
          <w:sz w:val="28"/>
          <w:szCs w:val="28"/>
        </w:rPr>
        <w:t>соціологічний</w:t>
      </w:r>
      <w:r w:rsidR="00380E05">
        <w:rPr>
          <w:color w:val="auto"/>
          <w:sz w:val="28"/>
          <w:szCs w:val="28"/>
        </w:rPr>
        <w:t>.</w:t>
      </w:r>
      <w:bookmarkStart w:id="0" w:name="_GoBack"/>
      <w:bookmarkEnd w:id="0"/>
    </w:p>
    <w:p w:rsidR="00A65601" w:rsidRDefault="00917EC0" w:rsidP="00221607">
      <w:pPr>
        <w:spacing w:after="120"/>
        <w:ind w:firstLine="567"/>
        <w:jc w:val="both"/>
        <w:rPr>
          <w:bCs/>
          <w:sz w:val="28"/>
          <w:szCs w:val="28"/>
        </w:rPr>
      </w:pPr>
      <w:r w:rsidRPr="00C83ED7">
        <w:rPr>
          <w:b/>
          <w:bCs/>
          <w:sz w:val="28"/>
          <w:szCs w:val="28"/>
        </w:rPr>
        <w:t xml:space="preserve">7. </w:t>
      </w:r>
      <w:r w:rsidR="00B50F48" w:rsidRPr="00C83ED7">
        <w:rPr>
          <w:b/>
          <w:bCs/>
          <w:sz w:val="28"/>
          <w:szCs w:val="28"/>
        </w:rPr>
        <w:t>Дані та припущення, на основі яких відстежувалася результативність, а також способи одержання даних:</w:t>
      </w:r>
      <w:r w:rsidRPr="00C83ED7">
        <w:rPr>
          <w:b/>
          <w:bCs/>
          <w:sz w:val="28"/>
          <w:szCs w:val="28"/>
        </w:rPr>
        <w:t xml:space="preserve"> </w:t>
      </w:r>
      <w:r w:rsidRPr="00C83ED7">
        <w:rPr>
          <w:bCs/>
          <w:sz w:val="28"/>
          <w:szCs w:val="28"/>
        </w:rPr>
        <w:t>відстеження результативності цього</w:t>
      </w:r>
      <w:r w:rsidR="0021651D">
        <w:rPr>
          <w:bCs/>
          <w:sz w:val="28"/>
          <w:szCs w:val="28"/>
        </w:rPr>
        <w:t xml:space="preserve"> </w:t>
      </w:r>
      <w:r w:rsidR="0021651D" w:rsidRPr="0008424B">
        <w:rPr>
          <w:bCs/>
          <w:sz w:val="28"/>
          <w:szCs w:val="28"/>
        </w:rPr>
        <w:t>проекту</w:t>
      </w:r>
      <w:r w:rsidR="0021651D">
        <w:rPr>
          <w:bCs/>
          <w:sz w:val="28"/>
          <w:szCs w:val="28"/>
        </w:rPr>
        <w:t xml:space="preserve"> </w:t>
      </w:r>
      <w:r w:rsidRPr="00C83ED7">
        <w:rPr>
          <w:bCs/>
          <w:sz w:val="28"/>
          <w:szCs w:val="28"/>
        </w:rPr>
        <w:t>регуляторного акта</w:t>
      </w:r>
      <w:r w:rsidR="00A65601" w:rsidRPr="00C83ED7">
        <w:rPr>
          <w:bCs/>
          <w:sz w:val="28"/>
          <w:szCs w:val="28"/>
        </w:rPr>
        <w:t xml:space="preserve"> здійснювалось шляхом аналізу статистичної інформації, наданої Комунальним підприємством “</w:t>
      </w:r>
      <w:r w:rsidR="003F0156" w:rsidRPr="00C83ED7">
        <w:rPr>
          <w:bCs/>
          <w:sz w:val="28"/>
          <w:szCs w:val="28"/>
        </w:rPr>
        <w:t>Благоустрій міста</w:t>
      </w:r>
      <w:r w:rsidR="00A65601" w:rsidRPr="00C83ED7">
        <w:rPr>
          <w:bCs/>
          <w:sz w:val="28"/>
          <w:szCs w:val="28"/>
        </w:rPr>
        <w:t xml:space="preserve">” </w:t>
      </w:r>
      <w:r w:rsidR="00A65601" w:rsidRPr="00C83ED7">
        <w:rPr>
          <w:bCs/>
          <w:color w:val="auto"/>
          <w:sz w:val="28"/>
          <w:szCs w:val="28"/>
        </w:rPr>
        <w:t xml:space="preserve">Дніпровської </w:t>
      </w:r>
      <w:r w:rsidR="009F6464">
        <w:rPr>
          <w:bCs/>
          <w:sz w:val="28"/>
          <w:szCs w:val="28"/>
        </w:rPr>
        <w:t>міської ради.</w:t>
      </w:r>
    </w:p>
    <w:p w:rsidR="00053A65" w:rsidRPr="00C83ED7" w:rsidRDefault="00B50F48" w:rsidP="00221607">
      <w:pPr>
        <w:spacing w:after="120"/>
        <w:ind w:firstLine="567"/>
        <w:jc w:val="both"/>
        <w:rPr>
          <w:color w:val="auto"/>
          <w:sz w:val="28"/>
          <w:szCs w:val="28"/>
        </w:rPr>
      </w:pPr>
      <w:r w:rsidRPr="00C83ED7">
        <w:rPr>
          <w:b/>
          <w:bCs/>
          <w:sz w:val="28"/>
          <w:szCs w:val="28"/>
        </w:rPr>
        <w:t xml:space="preserve">8.  </w:t>
      </w:r>
      <w:r w:rsidR="00053A65" w:rsidRPr="00C83ED7">
        <w:rPr>
          <w:b/>
          <w:bCs/>
          <w:sz w:val="28"/>
          <w:szCs w:val="28"/>
        </w:rPr>
        <w:t>Кількісні та якісні значення показників результативності акта:</w:t>
      </w:r>
    </w:p>
    <w:p w:rsidR="00822468" w:rsidRDefault="00A356AA" w:rsidP="00221607">
      <w:pPr>
        <w:spacing w:after="120"/>
        <w:ind w:firstLine="567"/>
        <w:jc w:val="both"/>
        <w:rPr>
          <w:bCs/>
          <w:color w:val="auto"/>
          <w:sz w:val="28"/>
          <w:szCs w:val="28"/>
        </w:rPr>
      </w:pPr>
      <w:r w:rsidRPr="00C83ED7">
        <w:rPr>
          <w:bCs/>
          <w:color w:val="auto"/>
          <w:sz w:val="28"/>
          <w:szCs w:val="28"/>
        </w:rPr>
        <w:t xml:space="preserve">Основними показниками результативності </w:t>
      </w:r>
      <w:r w:rsidR="00772D67" w:rsidRPr="00C83ED7">
        <w:rPr>
          <w:bCs/>
          <w:color w:val="auto"/>
          <w:sz w:val="28"/>
          <w:szCs w:val="28"/>
        </w:rPr>
        <w:t>цього</w:t>
      </w:r>
      <w:r w:rsidR="00862D7F" w:rsidRPr="00C83ED7">
        <w:rPr>
          <w:bCs/>
          <w:color w:val="auto"/>
          <w:sz w:val="28"/>
          <w:szCs w:val="28"/>
        </w:rPr>
        <w:t xml:space="preserve"> проекту</w:t>
      </w:r>
      <w:r w:rsidRPr="00C83ED7">
        <w:rPr>
          <w:bCs/>
          <w:color w:val="auto"/>
          <w:sz w:val="28"/>
          <w:szCs w:val="28"/>
        </w:rPr>
        <w:t xml:space="preserve"> регуляторного акта є: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237"/>
        <w:gridCol w:w="1418"/>
        <w:gridCol w:w="45"/>
        <w:gridCol w:w="1372"/>
      </w:tblGrid>
      <w:tr w:rsidR="009F6464" w:rsidRPr="00221607" w:rsidTr="00221607">
        <w:trPr>
          <w:trHeight w:val="469"/>
        </w:trPr>
        <w:tc>
          <w:tcPr>
            <w:tcW w:w="56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№</w:t>
            </w:r>
          </w:p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з/п</w:t>
            </w:r>
          </w:p>
        </w:tc>
        <w:tc>
          <w:tcPr>
            <w:tcW w:w="6237" w:type="dxa"/>
            <w:vAlign w:val="center"/>
          </w:tcPr>
          <w:p w:rsidR="009F6464" w:rsidRPr="00221607" w:rsidRDefault="009F6464" w:rsidP="009F6464">
            <w:pPr>
              <w:jc w:val="center"/>
              <w:rPr>
                <w:b/>
                <w:i/>
                <w:sz w:val="28"/>
                <w:szCs w:val="28"/>
              </w:rPr>
            </w:pPr>
            <w:r w:rsidRPr="00221607">
              <w:rPr>
                <w:b/>
                <w:i/>
                <w:sz w:val="28"/>
                <w:szCs w:val="28"/>
              </w:rPr>
              <w:t>Показники результативності</w:t>
            </w:r>
          </w:p>
        </w:tc>
        <w:tc>
          <w:tcPr>
            <w:tcW w:w="1418" w:type="dxa"/>
            <w:vAlign w:val="center"/>
          </w:tcPr>
          <w:p w:rsidR="009F6464" w:rsidRPr="00221607" w:rsidRDefault="009F6464" w:rsidP="009F6464">
            <w:pPr>
              <w:jc w:val="center"/>
              <w:rPr>
                <w:b/>
                <w:i/>
                <w:sz w:val="28"/>
                <w:szCs w:val="28"/>
              </w:rPr>
            </w:pPr>
            <w:r w:rsidRPr="00221607">
              <w:rPr>
                <w:b/>
                <w:i/>
                <w:sz w:val="28"/>
                <w:szCs w:val="28"/>
              </w:rPr>
              <w:t>2017 рік</w:t>
            </w:r>
          </w:p>
        </w:tc>
        <w:tc>
          <w:tcPr>
            <w:tcW w:w="1417" w:type="dxa"/>
            <w:gridSpan w:val="2"/>
            <w:vAlign w:val="center"/>
          </w:tcPr>
          <w:p w:rsidR="009F6464" w:rsidRDefault="009F6464" w:rsidP="009F6464">
            <w:pPr>
              <w:jc w:val="center"/>
              <w:rPr>
                <w:b/>
                <w:i/>
                <w:sz w:val="28"/>
                <w:szCs w:val="28"/>
              </w:rPr>
            </w:pPr>
            <w:r w:rsidRPr="00221607">
              <w:rPr>
                <w:b/>
                <w:i/>
                <w:sz w:val="28"/>
                <w:szCs w:val="28"/>
              </w:rPr>
              <w:t>2018 рік</w:t>
            </w:r>
          </w:p>
          <w:p w:rsidR="00A52B90" w:rsidRPr="00221607" w:rsidRDefault="00A52B90" w:rsidP="009F646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(прогноз)</w:t>
            </w:r>
          </w:p>
        </w:tc>
      </w:tr>
      <w:tr w:rsidR="009F6464" w:rsidRPr="00221607" w:rsidTr="00221607">
        <w:trPr>
          <w:trHeight w:val="258"/>
        </w:trPr>
        <w:tc>
          <w:tcPr>
            <w:tcW w:w="562" w:type="dxa"/>
            <w:vMerge w:val="restart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4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i/>
                <w:sz w:val="28"/>
                <w:szCs w:val="28"/>
              </w:rPr>
              <w:t>Кількісні (прогнозні)</w:t>
            </w:r>
          </w:p>
        </w:tc>
      </w:tr>
      <w:tr w:rsidR="009F6464" w:rsidRPr="00221607" w:rsidTr="00221607">
        <w:trPr>
          <w:trHeight w:val="451"/>
        </w:trPr>
        <w:tc>
          <w:tcPr>
            <w:tcW w:w="562" w:type="dxa"/>
            <w:vMerge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F6464" w:rsidRPr="0022160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Кількість суб'єктів господарювання, на яких розповсюджується дія акта, од.</w:t>
            </w:r>
          </w:p>
        </w:tc>
        <w:tc>
          <w:tcPr>
            <w:tcW w:w="1418" w:type="dxa"/>
            <w:vAlign w:val="center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1162</w:t>
            </w:r>
          </w:p>
        </w:tc>
        <w:tc>
          <w:tcPr>
            <w:tcW w:w="1417" w:type="dxa"/>
            <w:gridSpan w:val="2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1148</w:t>
            </w:r>
          </w:p>
        </w:tc>
      </w:tr>
      <w:tr w:rsidR="009F6464" w:rsidRPr="00221607" w:rsidTr="00221607">
        <w:tc>
          <w:tcPr>
            <w:tcW w:w="56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9F6464" w:rsidRPr="0022160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Кількість тимчасових споруд, од.*</w:t>
            </w:r>
          </w:p>
        </w:tc>
        <w:tc>
          <w:tcPr>
            <w:tcW w:w="1418" w:type="dxa"/>
            <w:vAlign w:val="center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2423</w:t>
            </w:r>
          </w:p>
        </w:tc>
        <w:tc>
          <w:tcPr>
            <w:tcW w:w="1417" w:type="dxa"/>
            <w:gridSpan w:val="2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2298</w:t>
            </w:r>
          </w:p>
        </w:tc>
      </w:tr>
      <w:tr w:rsidR="009F6464" w:rsidRPr="00221607" w:rsidTr="00221607">
        <w:tc>
          <w:tcPr>
            <w:tcW w:w="56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A217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 xml:space="preserve">Обсяг надходжень з оплати за тимчасове </w:t>
            </w:r>
            <w:r w:rsidRPr="00221607">
              <w:rPr>
                <w:sz w:val="28"/>
                <w:szCs w:val="28"/>
                <w:lang w:eastAsia="ar-SA"/>
              </w:rPr>
              <w:t>використання об’єктів (елементів) благоустрою не за цільовим призначенням</w:t>
            </w:r>
            <w:r w:rsidRPr="00221607">
              <w:rPr>
                <w:sz w:val="28"/>
                <w:szCs w:val="28"/>
              </w:rPr>
              <w:t>, тис.грн.**</w:t>
            </w:r>
          </w:p>
          <w:p w:rsidR="003A2177" w:rsidRPr="00221607" w:rsidRDefault="003A2177" w:rsidP="009F64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6464" w:rsidRPr="00221607" w:rsidRDefault="00221607" w:rsidP="009F6464">
            <w:pPr>
              <w:ind w:left="-107" w:right="-110"/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27247,97</w:t>
            </w:r>
          </w:p>
        </w:tc>
        <w:tc>
          <w:tcPr>
            <w:tcW w:w="1417" w:type="dxa"/>
            <w:gridSpan w:val="2"/>
            <w:vAlign w:val="center"/>
          </w:tcPr>
          <w:p w:rsidR="009F6464" w:rsidRPr="00221607" w:rsidRDefault="009F6464" w:rsidP="009F6464">
            <w:pPr>
              <w:ind w:left="-107" w:right="-110"/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27847,97</w:t>
            </w:r>
          </w:p>
        </w:tc>
      </w:tr>
      <w:tr w:rsidR="009F6464" w:rsidRPr="00221607" w:rsidTr="00221607">
        <w:trPr>
          <w:trHeight w:val="212"/>
        </w:trPr>
        <w:tc>
          <w:tcPr>
            <w:tcW w:w="562" w:type="dxa"/>
            <w:vMerge w:val="restart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gridSpan w:val="4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i/>
                <w:sz w:val="28"/>
                <w:szCs w:val="28"/>
              </w:rPr>
              <w:t>Якісні (у бальній системі)</w:t>
            </w:r>
          </w:p>
        </w:tc>
      </w:tr>
      <w:tr w:rsidR="009F6464" w:rsidRPr="00221607" w:rsidTr="00221607">
        <w:trPr>
          <w:trHeight w:val="1458"/>
        </w:trPr>
        <w:tc>
          <w:tcPr>
            <w:tcW w:w="562" w:type="dxa"/>
            <w:vMerge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9F6464" w:rsidRPr="0022160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Рівень поінформованості суб’єктів господарю</w:t>
            </w:r>
            <w:r w:rsidR="000C610D">
              <w:rPr>
                <w:sz w:val="28"/>
                <w:szCs w:val="28"/>
              </w:rPr>
              <w:t>-</w:t>
            </w:r>
            <w:r w:rsidRPr="00221607">
              <w:rPr>
                <w:sz w:val="28"/>
                <w:szCs w:val="28"/>
              </w:rPr>
              <w:t>вання:</w:t>
            </w:r>
            <w:r w:rsidRPr="00221607">
              <w:rPr>
                <w:sz w:val="28"/>
                <w:szCs w:val="28"/>
              </w:rPr>
              <w:br/>
              <w:t>1) з питань використання об’єктів благоустрою не за цільовим призначенням у місті Дніпрі;</w:t>
            </w:r>
          </w:p>
          <w:p w:rsidR="009F6464" w:rsidRPr="0022160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2) щодо основних положень регуляторного акта</w:t>
            </w:r>
          </w:p>
        </w:tc>
        <w:tc>
          <w:tcPr>
            <w:tcW w:w="1463" w:type="dxa"/>
            <w:gridSpan w:val="2"/>
            <w:vAlign w:val="center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4</w:t>
            </w:r>
          </w:p>
        </w:tc>
      </w:tr>
      <w:tr w:rsidR="009F6464" w:rsidRPr="00221607" w:rsidTr="00221607">
        <w:tc>
          <w:tcPr>
            <w:tcW w:w="56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9F6464" w:rsidRPr="00221607" w:rsidRDefault="009F6464" w:rsidP="009F6464">
            <w:pPr>
              <w:jc w:val="both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Рівень інформованості суб’єктів господарювання щодо основних положень регуляторного акта</w:t>
            </w:r>
          </w:p>
        </w:tc>
        <w:tc>
          <w:tcPr>
            <w:tcW w:w="1463" w:type="dxa"/>
            <w:gridSpan w:val="2"/>
            <w:vAlign w:val="center"/>
          </w:tcPr>
          <w:p w:rsidR="009F6464" w:rsidRPr="00221607" w:rsidRDefault="00221607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3</w:t>
            </w:r>
          </w:p>
        </w:tc>
        <w:tc>
          <w:tcPr>
            <w:tcW w:w="1372" w:type="dxa"/>
            <w:vAlign w:val="center"/>
          </w:tcPr>
          <w:p w:rsidR="009F6464" w:rsidRPr="00221607" w:rsidRDefault="009F6464" w:rsidP="009F6464">
            <w:pPr>
              <w:jc w:val="center"/>
              <w:rPr>
                <w:sz w:val="28"/>
                <w:szCs w:val="28"/>
              </w:rPr>
            </w:pPr>
            <w:r w:rsidRPr="00221607">
              <w:rPr>
                <w:sz w:val="28"/>
                <w:szCs w:val="28"/>
              </w:rPr>
              <w:t>4</w:t>
            </w:r>
          </w:p>
        </w:tc>
      </w:tr>
    </w:tbl>
    <w:p w:rsidR="00221607" w:rsidRDefault="00221607" w:rsidP="00221607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B7BC8">
        <w:rPr>
          <w:color w:val="000000"/>
          <w:sz w:val="28"/>
          <w:szCs w:val="28"/>
          <w:lang w:val="uk-UA"/>
        </w:rPr>
        <w:t>*Примітка – оцінка здійснена за 4-бальною системою, з яких 4 – досягнуто у високій мірі результат якісного показника, 3 – досягнуто більш, ніж на 50% результат якісного показника, 2 – досягнуто менше, ніж на 50% результат якісного показника, 1 – практично не досягнуто.</w:t>
      </w:r>
    </w:p>
    <w:p w:rsidR="00221607" w:rsidRPr="002B7BC8" w:rsidRDefault="00221607" w:rsidP="00221607">
      <w:pPr>
        <w:pStyle w:val="a8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**Примітка – за даними КП «Благоустрій міста».</w:t>
      </w:r>
    </w:p>
    <w:p w:rsidR="00053A65" w:rsidRDefault="001E252E" w:rsidP="00221607">
      <w:pPr>
        <w:spacing w:after="120"/>
        <w:ind w:firstLine="567"/>
        <w:jc w:val="both"/>
        <w:rPr>
          <w:color w:val="auto"/>
          <w:sz w:val="28"/>
          <w:szCs w:val="28"/>
        </w:rPr>
      </w:pPr>
      <w:r w:rsidRPr="00C83ED7">
        <w:rPr>
          <w:b/>
          <w:bCs/>
          <w:sz w:val="28"/>
          <w:szCs w:val="28"/>
        </w:rPr>
        <w:t>9</w:t>
      </w:r>
      <w:r w:rsidR="00053A65" w:rsidRPr="00C83ED7">
        <w:rPr>
          <w:b/>
          <w:bCs/>
          <w:sz w:val="28"/>
          <w:szCs w:val="28"/>
        </w:rPr>
        <w:t>. Оцінка результатів реалізації регуляторного акта та ступеня досягнення визначених цілей:</w:t>
      </w:r>
      <w:r w:rsidR="00776F18" w:rsidRPr="00C83ED7">
        <w:rPr>
          <w:sz w:val="28"/>
          <w:szCs w:val="28"/>
        </w:rPr>
        <w:t xml:space="preserve"> </w:t>
      </w:r>
      <w:r w:rsidR="005A5D70" w:rsidRPr="00C83ED7">
        <w:rPr>
          <w:sz w:val="28"/>
          <w:szCs w:val="28"/>
        </w:rPr>
        <w:t>базове</w:t>
      </w:r>
      <w:r w:rsidR="00053A65" w:rsidRPr="00C83ED7">
        <w:rPr>
          <w:sz w:val="28"/>
          <w:szCs w:val="28"/>
        </w:rPr>
        <w:t xml:space="preserve"> відстеження результативності </w:t>
      </w:r>
      <w:r w:rsidR="005A5D70" w:rsidRPr="00C83ED7">
        <w:rPr>
          <w:sz w:val="28"/>
          <w:szCs w:val="28"/>
        </w:rPr>
        <w:t xml:space="preserve">запропо-нованого </w:t>
      </w:r>
      <w:r w:rsidR="000C610D" w:rsidRPr="0008424B">
        <w:rPr>
          <w:sz w:val="28"/>
          <w:szCs w:val="28"/>
        </w:rPr>
        <w:t>проекту</w:t>
      </w:r>
      <w:r w:rsidR="000C610D">
        <w:rPr>
          <w:sz w:val="28"/>
          <w:szCs w:val="28"/>
        </w:rPr>
        <w:t xml:space="preserve"> </w:t>
      </w:r>
      <w:r w:rsidR="005A5D70" w:rsidRPr="00C83ED7">
        <w:rPr>
          <w:sz w:val="28"/>
          <w:szCs w:val="28"/>
        </w:rPr>
        <w:t>регуляторного акта</w:t>
      </w:r>
      <w:r w:rsidR="00053A65" w:rsidRPr="00C83ED7">
        <w:rPr>
          <w:sz w:val="28"/>
          <w:szCs w:val="28"/>
        </w:rPr>
        <w:t xml:space="preserve"> показ</w:t>
      </w:r>
      <w:r w:rsidR="005A5D70" w:rsidRPr="00C83ED7">
        <w:rPr>
          <w:sz w:val="28"/>
          <w:szCs w:val="28"/>
        </w:rPr>
        <w:t>ує велику вірогідність досягнення</w:t>
      </w:r>
      <w:r w:rsidR="00053A65" w:rsidRPr="00C83ED7">
        <w:rPr>
          <w:sz w:val="28"/>
          <w:szCs w:val="28"/>
        </w:rPr>
        <w:t xml:space="preserve"> зазначени</w:t>
      </w:r>
      <w:r w:rsidR="005A5D70" w:rsidRPr="00C83ED7">
        <w:rPr>
          <w:sz w:val="28"/>
          <w:szCs w:val="28"/>
        </w:rPr>
        <w:t>м</w:t>
      </w:r>
      <w:r w:rsidR="00053A65" w:rsidRPr="00C83ED7">
        <w:rPr>
          <w:sz w:val="28"/>
          <w:szCs w:val="28"/>
        </w:rPr>
        <w:t xml:space="preserve"> регуляторни</w:t>
      </w:r>
      <w:r w:rsidR="005A5D70" w:rsidRPr="00C83ED7">
        <w:rPr>
          <w:sz w:val="28"/>
          <w:szCs w:val="28"/>
        </w:rPr>
        <w:t>м</w:t>
      </w:r>
      <w:r w:rsidR="00053A65" w:rsidRPr="00C83ED7">
        <w:rPr>
          <w:sz w:val="28"/>
          <w:szCs w:val="28"/>
        </w:rPr>
        <w:t xml:space="preserve"> акт</w:t>
      </w:r>
      <w:r w:rsidR="005A5D70" w:rsidRPr="00C83ED7">
        <w:rPr>
          <w:sz w:val="28"/>
          <w:szCs w:val="28"/>
        </w:rPr>
        <w:t>ом</w:t>
      </w:r>
      <w:r w:rsidR="00053A65" w:rsidRPr="00C83ED7">
        <w:rPr>
          <w:sz w:val="28"/>
          <w:szCs w:val="28"/>
        </w:rPr>
        <w:t xml:space="preserve"> більшості з цілей, визначених ана</w:t>
      </w:r>
      <w:r w:rsidR="00A64BF3" w:rsidRPr="00C83ED7">
        <w:rPr>
          <w:sz w:val="28"/>
          <w:szCs w:val="28"/>
        </w:rPr>
        <w:t xml:space="preserve">лізом його регуляторного впливу: </w:t>
      </w:r>
      <w:r w:rsidR="00A64BF3" w:rsidRPr="00C83ED7">
        <w:rPr>
          <w:color w:val="auto"/>
          <w:sz w:val="28"/>
          <w:szCs w:val="28"/>
        </w:rPr>
        <w:t xml:space="preserve">вдосконалення процедури вжиття заходів реагування на порушення благоустрою території міста Дніпра, забезпечення виконання вимог Правил благоустрою території міста, поліпшення санітарного стану, збереження об'єктів та елементів благоустрою, </w:t>
      </w:r>
      <w:r w:rsidR="00FC1E86" w:rsidRPr="00C83ED7">
        <w:rPr>
          <w:color w:val="auto"/>
          <w:sz w:val="28"/>
          <w:szCs w:val="28"/>
        </w:rPr>
        <w:t xml:space="preserve">підвищення рівня </w:t>
      </w:r>
      <w:r w:rsidR="00A64BF3" w:rsidRPr="00C83ED7">
        <w:rPr>
          <w:color w:val="auto"/>
          <w:sz w:val="28"/>
          <w:szCs w:val="28"/>
        </w:rPr>
        <w:t>захисту населення від негативних наслідків порушення об'єктів та елементів благоустрою</w:t>
      </w:r>
      <w:r w:rsidR="00FC1E86" w:rsidRPr="00C83ED7">
        <w:rPr>
          <w:color w:val="auto"/>
          <w:sz w:val="28"/>
          <w:szCs w:val="28"/>
        </w:rPr>
        <w:t xml:space="preserve"> за рахунок підтримання </w:t>
      </w:r>
      <w:r w:rsidR="00FC1E86" w:rsidRPr="00C83ED7">
        <w:rPr>
          <w:sz w:val="28"/>
          <w:szCs w:val="28"/>
        </w:rPr>
        <w:t>належного рівня дисциплінарного впливу зазначеного регулятор</w:t>
      </w:r>
      <w:r w:rsidR="00EE0176" w:rsidRPr="00C83ED7">
        <w:rPr>
          <w:sz w:val="28"/>
          <w:szCs w:val="28"/>
        </w:rPr>
        <w:t>-</w:t>
      </w:r>
      <w:r w:rsidR="00FC1E86" w:rsidRPr="00C83ED7">
        <w:rPr>
          <w:sz w:val="28"/>
          <w:szCs w:val="28"/>
        </w:rPr>
        <w:t>ного акта на суб'єктів господарювання</w:t>
      </w:r>
      <w:r w:rsidR="00A64BF3" w:rsidRPr="00C83ED7">
        <w:rPr>
          <w:color w:val="auto"/>
          <w:sz w:val="28"/>
          <w:szCs w:val="28"/>
        </w:rPr>
        <w:t>.</w:t>
      </w:r>
    </w:p>
    <w:p w:rsidR="0030449E" w:rsidRDefault="003A2177" w:rsidP="00221607">
      <w:pPr>
        <w:tabs>
          <w:tab w:val="left" w:pos="284"/>
          <w:tab w:val="left" w:pos="426"/>
        </w:tabs>
        <w:spacing w:after="120"/>
        <w:ind w:firstLine="567"/>
        <w:jc w:val="both"/>
        <w:rPr>
          <w:sz w:val="28"/>
          <w:szCs w:val="28"/>
        </w:rPr>
      </w:pPr>
      <w:r w:rsidRPr="000C610D">
        <w:rPr>
          <w:sz w:val="28"/>
          <w:szCs w:val="28"/>
        </w:rPr>
        <w:t>П</w:t>
      </w:r>
      <w:r w:rsidR="0030449E" w:rsidRPr="000C610D">
        <w:rPr>
          <w:sz w:val="28"/>
          <w:szCs w:val="28"/>
        </w:rPr>
        <w:t>овторне та періодичне відстеження результативності регуляторного акта буде проведено у терміни, визначені Законом України «Про засади державної регуляторної політики у сфері господарської діяльності» та Методикою проведення аналізу впливу регуляторного акта, затвердженою Постановою Кабінету Міністрів України від 11.03.2004 № 308 (зі змінами).</w:t>
      </w:r>
    </w:p>
    <w:p w:rsidR="0030449E" w:rsidRPr="00481CAF" w:rsidRDefault="000C610D" w:rsidP="00221607">
      <w:pPr>
        <w:spacing w:after="12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Інформаційно: повний текст </w:t>
      </w:r>
      <w:r w:rsidRPr="0008424B">
        <w:rPr>
          <w:sz w:val="28"/>
          <w:szCs w:val="28"/>
        </w:rPr>
        <w:t>п</w:t>
      </w:r>
      <w:r w:rsidR="0030449E">
        <w:rPr>
          <w:sz w:val="28"/>
          <w:szCs w:val="28"/>
        </w:rPr>
        <w:t xml:space="preserve">роекту регуляторного акта </w:t>
      </w:r>
      <w:r w:rsidR="0030449E">
        <w:rPr>
          <w:sz w:val="28"/>
          <w:szCs w:val="28"/>
          <w:lang w:eastAsia="ru-RU"/>
        </w:rPr>
        <w:t xml:space="preserve">та аналіз регуляторного впливу з </w:t>
      </w:r>
      <w:r w:rsidR="0030449E" w:rsidRPr="009F6464">
        <w:rPr>
          <w:sz w:val="28"/>
          <w:szCs w:val="28"/>
          <w:lang w:eastAsia="ru-RU"/>
        </w:rPr>
        <w:t>26.06.2018</w:t>
      </w:r>
      <w:r w:rsidR="0030449E">
        <w:rPr>
          <w:sz w:val="28"/>
          <w:szCs w:val="28"/>
          <w:lang w:eastAsia="ru-RU"/>
        </w:rPr>
        <w:t xml:space="preserve"> </w:t>
      </w:r>
      <w:r w:rsidR="0030449E">
        <w:rPr>
          <w:sz w:val="28"/>
          <w:szCs w:val="28"/>
        </w:rPr>
        <w:t xml:space="preserve">розміщено на офіційному веб-сайті Дніпровської міської ради у меню «Відкрите місто», розділ «Регуляторна політика». </w:t>
      </w:r>
    </w:p>
    <w:p w:rsidR="0030449E" w:rsidRDefault="0030449E" w:rsidP="00221607">
      <w:pPr>
        <w:spacing w:after="120"/>
        <w:ind w:firstLine="567"/>
        <w:jc w:val="both"/>
        <w:rPr>
          <w:color w:val="auto"/>
          <w:sz w:val="28"/>
          <w:szCs w:val="28"/>
        </w:rPr>
      </w:pPr>
    </w:p>
    <w:p w:rsidR="0030449E" w:rsidRPr="00C83ED7" w:rsidRDefault="0030449E" w:rsidP="00221607">
      <w:pPr>
        <w:spacing w:after="120"/>
        <w:ind w:firstLine="567"/>
        <w:jc w:val="both"/>
        <w:rPr>
          <w:sz w:val="28"/>
          <w:szCs w:val="28"/>
        </w:rPr>
      </w:pPr>
    </w:p>
    <w:p w:rsidR="00A64BF3" w:rsidRPr="00C83ED7" w:rsidRDefault="00A64BF3" w:rsidP="00622755">
      <w:pPr>
        <w:tabs>
          <w:tab w:val="left" w:pos="7380"/>
        </w:tabs>
        <w:jc w:val="both"/>
        <w:rPr>
          <w:sz w:val="28"/>
          <w:szCs w:val="28"/>
        </w:rPr>
      </w:pPr>
    </w:p>
    <w:p w:rsidR="00B71F30" w:rsidRPr="00C83ED7" w:rsidRDefault="00D05612" w:rsidP="00622755">
      <w:pPr>
        <w:tabs>
          <w:tab w:val="left" w:pos="7380"/>
        </w:tabs>
        <w:jc w:val="both"/>
        <w:rPr>
          <w:sz w:val="28"/>
          <w:szCs w:val="28"/>
        </w:rPr>
      </w:pPr>
      <w:r w:rsidRPr="00C83ED7">
        <w:rPr>
          <w:sz w:val="28"/>
          <w:szCs w:val="28"/>
        </w:rPr>
        <w:br/>
      </w:r>
      <w:r w:rsidR="00B71F30" w:rsidRPr="00C83ED7">
        <w:rPr>
          <w:sz w:val="28"/>
          <w:szCs w:val="28"/>
        </w:rPr>
        <w:t>Міський голова</w:t>
      </w:r>
      <w:r w:rsidR="00B71F30" w:rsidRPr="00C83ED7">
        <w:rPr>
          <w:sz w:val="28"/>
          <w:szCs w:val="28"/>
        </w:rPr>
        <w:tab/>
        <w:t xml:space="preserve">       Б. А. Філатов</w:t>
      </w:r>
    </w:p>
    <w:p w:rsidR="00141417" w:rsidRPr="00C83ED7" w:rsidRDefault="00141417" w:rsidP="00622755">
      <w:pPr>
        <w:tabs>
          <w:tab w:val="left" w:pos="7380"/>
        </w:tabs>
        <w:jc w:val="both"/>
        <w:rPr>
          <w:sz w:val="28"/>
          <w:szCs w:val="28"/>
        </w:rPr>
      </w:pPr>
    </w:p>
    <w:p w:rsidR="00141417" w:rsidRPr="00C83ED7" w:rsidRDefault="00141417" w:rsidP="00622755">
      <w:pPr>
        <w:tabs>
          <w:tab w:val="left" w:pos="7380"/>
        </w:tabs>
        <w:jc w:val="both"/>
        <w:rPr>
          <w:sz w:val="28"/>
          <w:szCs w:val="28"/>
        </w:rPr>
      </w:pPr>
    </w:p>
    <w:p w:rsidR="00141417" w:rsidRPr="00C83ED7" w:rsidRDefault="00141417" w:rsidP="00622755">
      <w:pPr>
        <w:tabs>
          <w:tab w:val="left" w:pos="7380"/>
        </w:tabs>
        <w:jc w:val="both"/>
        <w:rPr>
          <w:sz w:val="28"/>
          <w:szCs w:val="28"/>
        </w:rPr>
      </w:pPr>
    </w:p>
    <w:p w:rsidR="00C83ED7" w:rsidRDefault="00C83ED7" w:rsidP="00622755">
      <w:pPr>
        <w:tabs>
          <w:tab w:val="left" w:pos="7380"/>
        </w:tabs>
        <w:jc w:val="both"/>
        <w:rPr>
          <w:sz w:val="28"/>
          <w:szCs w:val="28"/>
        </w:rPr>
      </w:pPr>
    </w:p>
    <w:p w:rsidR="00C83ED7" w:rsidRPr="00C83ED7" w:rsidRDefault="00C83ED7" w:rsidP="00141417">
      <w:pPr>
        <w:tabs>
          <w:tab w:val="left" w:pos="7380"/>
        </w:tabs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Мороз Руслан Валентинович </w:t>
      </w:r>
      <w:r w:rsidR="00141417" w:rsidRPr="00C83ED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56 98 86</w:t>
      </w:r>
    </w:p>
    <w:p w:rsidR="00622755" w:rsidRPr="00C83ED7" w:rsidRDefault="00C83ED7" w:rsidP="00141417">
      <w:pPr>
        <w:tabs>
          <w:tab w:val="left" w:pos="7380"/>
        </w:tabs>
        <w:jc w:val="both"/>
        <w:rPr>
          <w:color w:val="auto"/>
          <w:sz w:val="18"/>
          <w:szCs w:val="18"/>
        </w:rPr>
      </w:pPr>
      <w:r w:rsidRPr="00C83ED7">
        <w:rPr>
          <w:color w:val="auto"/>
          <w:sz w:val="18"/>
          <w:szCs w:val="18"/>
        </w:rPr>
        <w:t>Грек</w:t>
      </w:r>
      <w:r w:rsidR="00622755" w:rsidRPr="00C83ED7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Олексій Сергійович 756 98 83</w:t>
      </w:r>
    </w:p>
    <w:sectPr w:rsidR="00622755" w:rsidRPr="00C83ED7" w:rsidSect="00EA2B33">
      <w:headerReference w:type="even" r:id="rId7"/>
      <w:headerReference w:type="default" r:id="rId8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73" w:rsidRDefault="000D5473">
      <w:r>
        <w:separator/>
      </w:r>
    </w:p>
  </w:endnote>
  <w:endnote w:type="continuationSeparator" w:id="0">
    <w:p w:rsidR="000D5473" w:rsidRDefault="000D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73" w:rsidRDefault="000D5473">
      <w:r>
        <w:separator/>
      </w:r>
    </w:p>
  </w:footnote>
  <w:footnote w:type="continuationSeparator" w:id="0">
    <w:p w:rsidR="000D5473" w:rsidRDefault="000D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E" w:rsidRDefault="00FA453E" w:rsidP="00E45A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453E" w:rsidRDefault="00FA4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3E" w:rsidRDefault="00FA453E" w:rsidP="00E45A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1D">
      <w:rPr>
        <w:rStyle w:val="a4"/>
        <w:noProof/>
      </w:rPr>
      <w:t>2</w:t>
    </w:r>
    <w:r>
      <w:rPr>
        <w:rStyle w:val="a4"/>
      </w:rPr>
      <w:fldChar w:fldCharType="end"/>
    </w:r>
  </w:p>
  <w:p w:rsidR="00FA453E" w:rsidRDefault="00FA453E" w:rsidP="00E35B19">
    <w:pPr>
      <w:pStyle w:val="a3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3E2B"/>
    <w:multiLevelType w:val="hybridMultilevel"/>
    <w:tmpl w:val="7340FA46"/>
    <w:lvl w:ilvl="0" w:tplc="BA20CEC8">
      <w:numFmt w:val="bullet"/>
      <w:lvlText w:val="-"/>
      <w:lvlJc w:val="left"/>
      <w:pPr>
        <w:tabs>
          <w:tab w:val="num" w:pos="1359"/>
        </w:tabs>
        <w:ind w:left="1359" w:hanging="81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65"/>
    <w:rsid w:val="0000216E"/>
    <w:rsid w:val="00007423"/>
    <w:rsid w:val="000112C8"/>
    <w:rsid w:val="0001682E"/>
    <w:rsid w:val="00041721"/>
    <w:rsid w:val="000428F3"/>
    <w:rsid w:val="00043A01"/>
    <w:rsid w:val="00045EC4"/>
    <w:rsid w:val="00047858"/>
    <w:rsid w:val="00053A65"/>
    <w:rsid w:val="000633DA"/>
    <w:rsid w:val="00063817"/>
    <w:rsid w:val="00065CDA"/>
    <w:rsid w:val="000676BB"/>
    <w:rsid w:val="00082FA7"/>
    <w:rsid w:val="000830EF"/>
    <w:rsid w:val="0008424B"/>
    <w:rsid w:val="000C610D"/>
    <w:rsid w:val="000D5473"/>
    <w:rsid w:val="000D5A8A"/>
    <w:rsid w:val="000E4F28"/>
    <w:rsid w:val="000E7791"/>
    <w:rsid w:val="0010029E"/>
    <w:rsid w:val="00104324"/>
    <w:rsid w:val="00107261"/>
    <w:rsid w:val="00124647"/>
    <w:rsid w:val="00141417"/>
    <w:rsid w:val="00142A6C"/>
    <w:rsid w:val="00147215"/>
    <w:rsid w:val="00173007"/>
    <w:rsid w:val="00174871"/>
    <w:rsid w:val="00193B73"/>
    <w:rsid w:val="0019436F"/>
    <w:rsid w:val="001A082C"/>
    <w:rsid w:val="001A1306"/>
    <w:rsid w:val="001C3D79"/>
    <w:rsid w:val="001C58B1"/>
    <w:rsid w:val="001D4678"/>
    <w:rsid w:val="001E1494"/>
    <w:rsid w:val="001E252E"/>
    <w:rsid w:val="00214475"/>
    <w:rsid w:val="0021651D"/>
    <w:rsid w:val="00221607"/>
    <w:rsid w:val="00221C51"/>
    <w:rsid w:val="002340E5"/>
    <w:rsid w:val="002500DC"/>
    <w:rsid w:val="00261E32"/>
    <w:rsid w:val="00266493"/>
    <w:rsid w:val="002B74FE"/>
    <w:rsid w:val="002C1347"/>
    <w:rsid w:val="002C74BF"/>
    <w:rsid w:val="002D35BC"/>
    <w:rsid w:val="0030449E"/>
    <w:rsid w:val="00306741"/>
    <w:rsid w:val="00310A46"/>
    <w:rsid w:val="00327112"/>
    <w:rsid w:val="00327267"/>
    <w:rsid w:val="003452CF"/>
    <w:rsid w:val="00365773"/>
    <w:rsid w:val="00373A0C"/>
    <w:rsid w:val="00380E05"/>
    <w:rsid w:val="00383299"/>
    <w:rsid w:val="003900A6"/>
    <w:rsid w:val="00396F8D"/>
    <w:rsid w:val="003A2177"/>
    <w:rsid w:val="003A600E"/>
    <w:rsid w:val="003B0742"/>
    <w:rsid w:val="003B3859"/>
    <w:rsid w:val="003C4AE2"/>
    <w:rsid w:val="003F0156"/>
    <w:rsid w:val="003F20BF"/>
    <w:rsid w:val="003F2942"/>
    <w:rsid w:val="00461505"/>
    <w:rsid w:val="004628C0"/>
    <w:rsid w:val="00463B31"/>
    <w:rsid w:val="00464DB0"/>
    <w:rsid w:val="00474D54"/>
    <w:rsid w:val="0049218B"/>
    <w:rsid w:val="00492334"/>
    <w:rsid w:val="004D2207"/>
    <w:rsid w:val="004E1337"/>
    <w:rsid w:val="004E5256"/>
    <w:rsid w:val="004F362C"/>
    <w:rsid w:val="004F5669"/>
    <w:rsid w:val="00505620"/>
    <w:rsid w:val="00511736"/>
    <w:rsid w:val="00514A25"/>
    <w:rsid w:val="00527052"/>
    <w:rsid w:val="00527D7D"/>
    <w:rsid w:val="00575A69"/>
    <w:rsid w:val="00584801"/>
    <w:rsid w:val="005A5D70"/>
    <w:rsid w:val="005C6642"/>
    <w:rsid w:val="005C787A"/>
    <w:rsid w:val="005E6581"/>
    <w:rsid w:val="006038BD"/>
    <w:rsid w:val="0061748C"/>
    <w:rsid w:val="00622755"/>
    <w:rsid w:val="0062301D"/>
    <w:rsid w:val="0063445E"/>
    <w:rsid w:val="00640256"/>
    <w:rsid w:val="00642C3C"/>
    <w:rsid w:val="00644B1B"/>
    <w:rsid w:val="006475B1"/>
    <w:rsid w:val="00656150"/>
    <w:rsid w:val="00667341"/>
    <w:rsid w:val="00667D39"/>
    <w:rsid w:val="00676B52"/>
    <w:rsid w:val="006C729B"/>
    <w:rsid w:val="006D61D4"/>
    <w:rsid w:val="006E61F2"/>
    <w:rsid w:val="006E6F41"/>
    <w:rsid w:val="006F4A2E"/>
    <w:rsid w:val="0070596B"/>
    <w:rsid w:val="00717438"/>
    <w:rsid w:val="007244FB"/>
    <w:rsid w:val="00753C0C"/>
    <w:rsid w:val="00771F79"/>
    <w:rsid w:val="00772D67"/>
    <w:rsid w:val="00773A1D"/>
    <w:rsid w:val="00776F18"/>
    <w:rsid w:val="00783581"/>
    <w:rsid w:val="007876DC"/>
    <w:rsid w:val="00787826"/>
    <w:rsid w:val="00794164"/>
    <w:rsid w:val="007A0233"/>
    <w:rsid w:val="007A33DD"/>
    <w:rsid w:val="007B00C1"/>
    <w:rsid w:val="007D3C3E"/>
    <w:rsid w:val="008124AA"/>
    <w:rsid w:val="00822468"/>
    <w:rsid w:val="00862D7F"/>
    <w:rsid w:val="00865C27"/>
    <w:rsid w:val="0086787D"/>
    <w:rsid w:val="008755CC"/>
    <w:rsid w:val="00880029"/>
    <w:rsid w:val="008813D0"/>
    <w:rsid w:val="00884C6F"/>
    <w:rsid w:val="008867A1"/>
    <w:rsid w:val="00893DA3"/>
    <w:rsid w:val="00894443"/>
    <w:rsid w:val="008A3724"/>
    <w:rsid w:val="008B3732"/>
    <w:rsid w:val="008C547A"/>
    <w:rsid w:val="008C73E7"/>
    <w:rsid w:val="008D3CF5"/>
    <w:rsid w:val="008D58F0"/>
    <w:rsid w:val="008E19CB"/>
    <w:rsid w:val="008E1BF8"/>
    <w:rsid w:val="00907C4F"/>
    <w:rsid w:val="00917098"/>
    <w:rsid w:val="00917BA6"/>
    <w:rsid w:val="00917EC0"/>
    <w:rsid w:val="00926EAF"/>
    <w:rsid w:val="00933713"/>
    <w:rsid w:val="00940F90"/>
    <w:rsid w:val="00956075"/>
    <w:rsid w:val="00971667"/>
    <w:rsid w:val="00973AAB"/>
    <w:rsid w:val="00976D17"/>
    <w:rsid w:val="00986BB2"/>
    <w:rsid w:val="00996A4D"/>
    <w:rsid w:val="009C3D3F"/>
    <w:rsid w:val="009C5AFE"/>
    <w:rsid w:val="009F396C"/>
    <w:rsid w:val="009F6464"/>
    <w:rsid w:val="00A0183C"/>
    <w:rsid w:val="00A04DE2"/>
    <w:rsid w:val="00A16F09"/>
    <w:rsid w:val="00A31C86"/>
    <w:rsid w:val="00A34BEC"/>
    <w:rsid w:val="00A356AA"/>
    <w:rsid w:val="00A37AB3"/>
    <w:rsid w:val="00A44553"/>
    <w:rsid w:val="00A52B90"/>
    <w:rsid w:val="00A56C3D"/>
    <w:rsid w:val="00A64BF3"/>
    <w:rsid w:val="00A64F4A"/>
    <w:rsid w:val="00A65601"/>
    <w:rsid w:val="00A67AE7"/>
    <w:rsid w:val="00A92585"/>
    <w:rsid w:val="00AA052D"/>
    <w:rsid w:val="00AB41B5"/>
    <w:rsid w:val="00AC5437"/>
    <w:rsid w:val="00AD7321"/>
    <w:rsid w:val="00AF0C57"/>
    <w:rsid w:val="00AF25A1"/>
    <w:rsid w:val="00AF2763"/>
    <w:rsid w:val="00B05D30"/>
    <w:rsid w:val="00B15B4C"/>
    <w:rsid w:val="00B376A5"/>
    <w:rsid w:val="00B501F8"/>
    <w:rsid w:val="00B50F48"/>
    <w:rsid w:val="00B56667"/>
    <w:rsid w:val="00B56CBC"/>
    <w:rsid w:val="00B61CF5"/>
    <w:rsid w:val="00B6785E"/>
    <w:rsid w:val="00B71F30"/>
    <w:rsid w:val="00BA33FD"/>
    <w:rsid w:val="00BA3A18"/>
    <w:rsid w:val="00BB03B6"/>
    <w:rsid w:val="00BB4B02"/>
    <w:rsid w:val="00BB73A9"/>
    <w:rsid w:val="00C00326"/>
    <w:rsid w:val="00C0760B"/>
    <w:rsid w:val="00C26A6D"/>
    <w:rsid w:val="00C26EC9"/>
    <w:rsid w:val="00C42662"/>
    <w:rsid w:val="00C47BBE"/>
    <w:rsid w:val="00C5438A"/>
    <w:rsid w:val="00C635F0"/>
    <w:rsid w:val="00C63D9B"/>
    <w:rsid w:val="00C83ED7"/>
    <w:rsid w:val="00C95175"/>
    <w:rsid w:val="00CA7825"/>
    <w:rsid w:val="00CC1817"/>
    <w:rsid w:val="00CC6E31"/>
    <w:rsid w:val="00CD2457"/>
    <w:rsid w:val="00CD33E2"/>
    <w:rsid w:val="00CD5626"/>
    <w:rsid w:val="00CE1E37"/>
    <w:rsid w:val="00CE53EB"/>
    <w:rsid w:val="00CE59EE"/>
    <w:rsid w:val="00D05612"/>
    <w:rsid w:val="00D06C5A"/>
    <w:rsid w:val="00D110EA"/>
    <w:rsid w:val="00D11ECC"/>
    <w:rsid w:val="00D35436"/>
    <w:rsid w:val="00D40743"/>
    <w:rsid w:val="00D41E13"/>
    <w:rsid w:val="00D44BFF"/>
    <w:rsid w:val="00D67EEA"/>
    <w:rsid w:val="00D87EE3"/>
    <w:rsid w:val="00DB3F7E"/>
    <w:rsid w:val="00DF05CC"/>
    <w:rsid w:val="00DF0D8E"/>
    <w:rsid w:val="00DF1B28"/>
    <w:rsid w:val="00DF31F5"/>
    <w:rsid w:val="00DF38E5"/>
    <w:rsid w:val="00E16C03"/>
    <w:rsid w:val="00E17351"/>
    <w:rsid w:val="00E2666D"/>
    <w:rsid w:val="00E272EB"/>
    <w:rsid w:val="00E35B19"/>
    <w:rsid w:val="00E421A4"/>
    <w:rsid w:val="00E45AD9"/>
    <w:rsid w:val="00E54FAD"/>
    <w:rsid w:val="00E61837"/>
    <w:rsid w:val="00E663A7"/>
    <w:rsid w:val="00E82E86"/>
    <w:rsid w:val="00E94EFF"/>
    <w:rsid w:val="00EA2B33"/>
    <w:rsid w:val="00ED14BF"/>
    <w:rsid w:val="00ED6BC5"/>
    <w:rsid w:val="00EE0176"/>
    <w:rsid w:val="00EE3692"/>
    <w:rsid w:val="00EE601A"/>
    <w:rsid w:val="00F01E33"/>
    <w:rsid w:val="00F15A01"/>
    <w:rsid w:val="00F20D43"/>
    <w:rsid w:val="00F6101A"/>
    <w:rsid w:val="00F6229D"/>
    <w:rsid w:val="00F656C5"/>
    <w:rsid w:val="00F8569D"/>
    <w:rsid w:val="00FA15BC"/>
    <w:rsid w:val="00FA453E"/>
    <w:rsid w:val="00FC1E86"/>
    <w:rsid w:val="00FC2340"/>
    <w:rsid w:val="00FC3EE1"/>
    <w:rsid w:val="00FD000C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4C434"/>
  <w15:docId w15:val="{1A904B0C-99C3-4C52-A26D-584180E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65"/>
    <w:pPr>
      <w:suppressAutoHyphens/>
    </w:pPr>
    <w:rPr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053A65"/>
    <w:pPr>
      <w:widowControl w:val="0"/>
    </w:pPr>
    <w:rPr>
      <w:rFonts w:eastAsia="SimSun"/>
      <w:sz w:val="20"/>
      <w:szCs w:val="20"/>
    </w:rPr>
  </w:style>
  <w:style w:type="paragraph" w:styleId="a3">
    <w:name w:val="header"/>
    <w:basedOn w:val="a"/>
    <w:rsid w:val="00E35B1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5B19"/>
  </w:style>
  <w:style w:type="paragraph" w:styleId="a5">
    <w:name w:val="footer"/>
    <w:basedOn w:val="a"/>
    <w:rsid w:val="00E35B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E13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E1337"/>
    <w:rPr>
      <w:rFonts w:ascii="Segoe UI" w:hAnsi="Segoe UI" w:cs="Segoe UI"/>
      <w:color w:val="000000"/>
      <w:sz w:val="18"/>
      <w:szCs w:val="18"/>
      <w:lang w:eastAsia="zh-CN"/>
    </w:rPr>
  </w:style>
  <w:style w:type="paragraph" w:styleId="a8">
    <w:name w:val="Normal (Web)"/>
    <w:basedOn w:val="a"/>
    <w:uiPriority w:val="99"/>
    <w:rsid w:val="00221607"/>
    <w:pPr>
      <w:suppressAutoHyphens w:val="0"/>
      <w:spacing w:before="100" w:beforeAutospacing="1" w:after="100" w:afterAutospacing="1"/>
    </w:pPr>
    <w:rPr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2647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В І Т</vt:lpstr>
    </vt:vector>
  </TitlesOfParts>
  <Company>GFU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В І Т</dc:title>
  <dc:creator>USER</dc:creator>
  <cp:lastModifiedBy>Ольга Володимирівна Мороз</cp:lastModifiedBy>
  <cp:revision>5</cp:revision>
  <cp:lastPrinted>2018-10-08T07:30:00Z</cp:lastPrinted>
  <dcterms:created xsi:type="dcterms:W3CDTF">2018-10-08T07:24:00Z</dcterms:created>
  <dcterms:modified xsi:type="dcterms:W3CDTF">2018-10-08T11:23:00Z</dcterms:modified>
</cp:coreProperties>
</file>