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19" w:rsidRPr="00947E32" w:rsidRDefault="00962019" w:rsidP="0096201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>Аналітична довідка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 стан роботи зі зверненнями громадян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br/>
        <w:t xml:space="preserve">у Дніпровській міській раді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br/>
        <w:t>з 01.01.2016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31.07.2020</w:t>
      </w:r>
    </w:p>
    <w:p w:rsidR="00962019" w:rsidRPr="00947E32" w:rsidRDefault="00962019" w:rsidP="00962019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62019" w:rsidRDefault="00962019" w:rsidP="009620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У період з 01.01.2016 по 31.07.2020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до Дніпровської міської ради надійшло 328 544 звернен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громадян, з них: </w:t>
      </w:r>
    </w:p>
    <w:p w:rsidR="00962019" w:rsidRPr="00947E32" w:rsidRDefault="00B317B7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148 763 звернень (45,3 </w:t>
      </w:r>
      <w:r w:rsidR="00962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від загальної кількості) </w:t>
      </w:r>
      <w:r w:rsidR="00962019"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962019" w:rsidRPr="00947E32">
        <w:rPr>
          <w:rFonts w:ascii="Times New Roman" w:hAnsi="Times New Roman" w:cs="Times New Roman"/>
          <w:color w:val="auto"/>
          <w:sz w:val="28"/>
          <w:szCs w:val="28"/>
        </w:rPr>
        <w:t>звернення, що надані громадянами безпосередньо до Дніпровської міської ради</w:t>
      </w:r>
      <w:r w:rsidR="00962019"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23,3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надійшло з Єдиної гарячої лінії для звернень громадян Дніпровської міської ради;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291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16,2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надійшло з Контакт-центру «Гаряча лінія голови Дніпропетровської облдержадміністрації»; </w:t>
      </w:r>
    </w:p>
    <w:p w:rsidR="00962019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>209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звернень 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(8,6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947E32">
        <w:rPr>
          <w:color w:val="auto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Державної установи «Урядовий контактний центр»;</w:t>
      </w:r>
    </w:p>
    <w:p w:rsidR="00B317B7" w:rsidRPr="00B317B7" w:rsidRDefault="00B317B7" w:rsidP="00B317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7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7 817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(2,4 %)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– подано громадянами на особистому прийомі міського голови та керівництва міської ради;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6 800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звернень 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– доручення за зверненнями громадян від вищих органів влади;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4 598 звернень 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(1,4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надійшло через офіційний </w:t>
      </w:r>
      <w:proofErr w:type="spellStart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вебсайт</w:t>
      </w:r>
      <w:proofErr w:type="spellEnd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на електронну адресу Дніпровської міської ради; </w:t>
      </w:r>
    </w:p>
    <w:p w:rsidR="00962019" w:rsidRPr="00AB5978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2 072 звернення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(0,6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депутатські звернення </w:t>
      </w:r>
      <w:r w:rsidRPr="00AB5978">
        <w:rPr>
          <w:rFonts w:ascii="Times New Roman" w:eastAsia="Times New Roman" w:hAnsi="Times New Roman" w:cs="Times New Roman"/>
          <w:color w:val="auto"/>
          <w:sz w:val="28"/>
          <w:szCs w:val="28"/>
        </w:rPr>
        <w:t>з питань, порушених громадянами;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480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17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(0,2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– петиції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які були розглянуті як звернення громадян (за період з 01.01.2019 по 31.07.2020).</w:t>
      </w:r>
    </w:p>
    <w:p w:rsidR="00962019" w:rsidRPr="00947E32" w:rsidRDefault="00962019" w:rsidP="0096201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звітний період з Офісу Президента України надійшло 181 доручення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зверненнями громадян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 Кабінету Міністрів України – 162,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 Дніпропетровської обласної державної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адміністрації – 4 754 доручень,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 Дніпропетровської обласної ради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149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 Офісу Генерального Прокурора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111,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Прокуратури Дніпропетровської області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409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Дніпропетровсь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ких місцевих прокуратур</w:t>
      </w:r>
      <w:r w:rsidR="00F52E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надійшло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96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доручень за зверненнями громадян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звернень, одержаних від жителів районів міста: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Новокодацький</w:t>
      </w:r>
      <w:proofErr w:type="spellEnd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55 614 звернень (у т. ч.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Таромське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1 404 звернення)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 Шевченківський район – 49 423 звернення;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 Амур-Нижньодніпровський район – 44 466 звернень;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Чечелівський</w:t>
      </w:r>
      <w:proofErr w:type="spellEnd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– 42 794 звернення;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Соборний – 39 959 звернень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 Індустріальний район – 38 712 звернень;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 Центральний – 26 589 звернень;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 Самарський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23 181 звернення.</w:t>
      </w:r>
    </w:p>
    <w:p w:rsidR="00F172FE" w:rsidRDefault="00962019" w:rsidP="0096201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 жителів інших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населених пунктів до Дніпровської міської ради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надійшло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7 806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звернень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947E32" w:rsidRDefault="00962019" w:rsidP="00962019">
      <w:pPr>
        <w:spacing w:line="240" w:lineRule="auto"/>
        <w:ind w:left="-6" w:firstLine="57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За видами звернень, визначених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України «Про звернення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громадян»,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домінували заяви – 317 175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(96,5 %)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скарги – 10</w:t>
      </w:r>
      <w:r w:rsidR="00E968C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807</w:t>
      </w:r>
      <w:r w:rsidR="00E968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(3,3 %)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пропозиції (зауваження) – 495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(0,2 %)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період з 01.01.2019 по 31.07.2020 р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обочою групою для опрацювання електронних петицій було розглянуто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45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електронних петицій, що набрали необхідну кіль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>кість голосів на свою підтримку;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480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електронні петиції,  які в установлений строк не набрали необхідної кількості голосів, були розглянуті як звернення громадян. </w:t>
      </w:r>
    </w:p>
    <w:p w:rsidR="00962019" w:rsidRPr="00E6589B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589B">
        <w:rPr>
          <w:rFonts w:ascii="Times New Roman" w:eastAsia="Times New Roman" w:hAnsi="Times New Roman" w:cs="Times New Roman"/>
          <w:color w:val="auto"/>
          <w:sz w:val="28"/>
          <w:szCs w:val="28"/>
        </w:rPr>
        <w:t>Особистий прийом громадян керівництвом міської ради провод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ився згідно з 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Порядком організації та проведення особистого прийому громадян посадовими ос</w:t>
      </w:r>
      <w:r w:rsidR="008B4066">
        <w:rPr>
          <w:rFonts w:ascii="Times New Roman" w:eastAsia="Times New Roman" w:hAnsi="Times New Roman" w:cs="Times New Roman"/>
          <w:color w:val="auto"/>
          <w:sz w:val="28"/>
          <w:szCs w:val="28"/>
        </w:rPr>
        <w:t>обами Дніпровської міської ради та графіками прийому керівників міської ради, затвердженими розпорядженнями міського голови.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особистих прийомах міським головою  Філатовим Б. А. було прийнято 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1 706 громадян, кер</w:t>
      </w:r>
      <w:r w:rsidR="00BA0924">
        <w:rPr>
          <w:rFonts w:ascii="Times New Roman" w:eastAsia="Times New Roman" w:hAnsi="Times New Roman" w:cs="Times New Roman"/>
          <w:color w:val="auto"/>
          <w:sz w:val="28"/>
          <w:szCs w:val="28"/>
        </w:rPr>
        <w:t>івництвом міської ради – 6 1</w:t>
      </w:r>
      <w:bookmarkStart w:id="0" w:name="_GoBack"/>
      <w:bookmarkEnd w:id="0"/>
      <w:r w:rsidR="008B4066">
        <w:rPr>
          <w:rFonts w:ascii="Times New Roman" w:eastAsia="Times New Roman" w:hAnsi="Times New Roman" w:cs="Times New Roman"/>
          <w:color w:val="auto"/>
          <w:sz w:val="28"/>
          <w:szCs w:val="28"/>
        </w:rPr>
        <w:t>11 громадян, з як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их: 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секретарем Дніпровської міської ради </w:t>
      </w:r>
      <w:proofErr w:type="spellStart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Санжарою</w:t>
      </w:r>
      <w:proofErr w:type="spellEnd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О. О. – 1 594;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 заступником міського голови з питань діяльності виконавчих органів Лисенком М. О. – 1 818;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 заступником міського голови з питань діяльності виконавчих органів, директор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 департаменту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охорони здоров'я населення Дніпровської міської ради Бабським А. А.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109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 заступником міського голови з питань діяльності виконавчих органів міської ради, директором департаменту економіки, фінансів та міського бюджету Дніпровської міської ради Міллером В. В. – 105;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color w:val="auto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 заступником міського голови з питань діяльності виконавчих органів міської ради, директором департаменту соціальної політики Дніпровської міської ради </w:t>
      </w:r>
      <w:proofErr w:type="spellStart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Підлубним</w:t>
      </w:r>
      <w:proofErr w:type="spellEnd"/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 С. – 30;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- заступником міського голови з питань діяльності виконавчих органів Дніпровської міської ради Сидоренком О. М. – 20.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Дані аналізу свідчать, що за звітний період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до Дніпровської міської ради над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>ійшло 18 048 повторних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(5,5 % від загальної кількості),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значна кількість 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яких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– це звернення щодо незадовіль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ного надання комунальних послуг; 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ремонту житлових будинків;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видалення дерев та обріз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 гілок;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неякісного водопостачання; поліпшення умов проживання учасників бойових дій;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роботи міського транспорту тощо. Основною причиною їх надходження залишається незгода заявників з наданими роз’ясненнями щодо порядку вирішення їх проблем.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Кількість м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асових звернень</w:t>
      </w:r>
      <w:r w:rsidRPr="00FC53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становила 2 998 </w:t>
      </w:r>
      <w:r w:rsidR="008B4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(0,9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 від загальної кількості)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 Найпоширеніші питання, порушені у масових зверненнях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неякісне надання послуги централізованого водопостачання; забруднення навколишнього середовища; робота міського транспорту;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питання пов’язані і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запровадженням і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розповсюдженням </w:t>
      </w:r>
      <w:proofErr w:type="spellStart"/>
      <w:r w:rsidRPr="00947E32">
        <w:rPr>
          <w:rFonts w:ascii="Times New Roman" w:hAnsi="Times New Roman" w:cs="Times New Roman"/>
          <w:color w:val="auto"/>
          <w:sz w:val="28"/>
          <w:szCs w:val="28"/>
        </w:rPr>
        <w:t>коронавірусної</w:t>
      </w:r>
      <w:proofErr w:type="spellEnd"/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хвороби COVID-19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FC53C5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Колективних звернень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надійшло 7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190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(2,2 % від загальної кількості).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Найчастіше громадяни зверталися з питаннями щодо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дорожнього покриття та тротуарів</w:t>
      </w:r>
      <w:r>
        <w:rPr>
          <w:rFonts w:ascii="Times New Roman" w:hAnsi="Times New Roman" w:cs="Times New Roman"/>
          <w:color w:val="auto"/>
          <w:sz w:val="28"/>
          <w:szCs w:val="28"/>
        </w:rPr>
        <w:t>; благоустрою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території;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покрівлі будинку; ремонт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системи опалення;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ремонту ліфту;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встановлення дитячих майданчиків;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>дотримання правил торгівлі тощо.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Аналіз статистичних даних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стосовно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соціального стану заявників свідчить, що найбільше звернень надійшло від пенсіонерів 80 668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24,5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 загальної кількості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), робітників 35 575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%), безробітних 7 175 (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2,2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%), підприємців 3 122 (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%), працівників бюджетної сфери  2 417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0,75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%) та державних службовців 1 035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0,32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%). 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Значна кількість звернень надійшла від найменш соціально захищених категорій населення: людей з інвалідністю 17 476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(5,4 % від     загальної кількості)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дітей війни 10 819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(3, 3 %)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учасників бойових дій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(АТО)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членів їх сімей 8 906 звернень (2,7 %)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ветеранів праці 6 175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багатодітних сімей 3 063 звернення</w:t>
      </w:r>
      <w:r w:rsidR="008B4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(0,9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, одиноких матерів 2 266 звернень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40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(0,7 %)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омадянами у зверненнях порушено 338 044 питання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Основні питання, з якими зверталися мешканці міста: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соціальна політика (надання матеріальної допомоги, отримання соціальних виплат, субсидій)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49 % від загальної кількості питань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комунальне господарство (благоустрій території, будівництво та ремонт місцевих доріг)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22 %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автомобільний транспорт та автошляхи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8 %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економічна, цінова, інвестиційна, зовнішньоекономічна, регіональна політика та будівництво, підприємництво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1,5 %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8910E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забезпечення дотримання законності та охорони правопорядку, реалізація прав і свобод громадян, запобігання дискримінації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1, 5 %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охорона здоров’я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1,4 %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8910E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діяльність органів місцевого самоврядування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1,5 %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освіта, наукова, науково-технічна, інноваційна діяльність та інтелектуальна власність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0,7 %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8910E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житлова політика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0,6 %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аграрна політика і земельні відносини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0,5 %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947E32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екологія та природні ресурси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0,3 %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62019" w:rsidRPr="00066B0D" w:rsidRDefault="00962019" w:rsidP="0096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культура та культурна спадщина, туризм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0,3 %</w:t>
      </w:r>
      <w:r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019" w:rsidRPr="00947E32" w:rsidRDefault="002E4EEC" w:rsidP="003A753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962019"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>езуль</w:t>
      </w:r>
      <w:proofErr w:type="spellEnd"/>
      <w:r w:rsidR="00962019" w:rsidRPr="00947E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ти</w:t>
      </w:r>
      <w:r w:rsidR="00962019" w:rsidRPr="00947E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розгляду звернень за періо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 з 01.01.2016 по 31.07.2020</w:t>
      </w:r>
      <w:r w:rsidR="00962019" w:rsidRPr="00947E3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вирішено позитивно – 107 181 звернення; 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надано роз’яснення щодо вирішення питань – </w:t>
      </w:r>
      <w:r>
        <w:rPr>
          <w:rFonts w:ascii="Times New Roman" w:hAnsi="Times New Roman" w:cs="Times New Roman"/>
          <w:color w:val="auto"/>
          <w:sz w:val="28"/>
          <w:szCs w:val="28"/>
        </w:rPr>
        <w:t>218 189</w:t>
      </w: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 звернень;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>повернуто заявнику – 58 звернень;</w:t>
      </w:r>
    </w:p>
    <w:p w:rsidR="00962019" w:rsidRPr="00947E32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 xml:space="preserve">переслано за належністю – 823 звернення; 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E32">
        <w:rPr>
          <w:rFonts w:ascii="Times New Roman" w:hAnsi="Times New Roman" w:cs="Times New Roman"/>
          <w:color w:val="auto"/>
          <w:sz w:val="28"/>
          <w:szCs w:val="28"/>
        </w:rPr>
        <w:t>не підлягало розгляду – 862 звернень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62019" w:rsidRPr="00D261D8" w:rsidRDefault="002E4EEC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перебуває </w:t>
      </w:r>
      <w:r w:rsidR="00962019">
        <w:rPr>
          <w:rFonts w:ascii="Times New Roman" w:hAnsi="Times New Roman" w:cs="Times New Roman"/>
          <w:color w:val="auto"/>
          <w:sz w:val="28"/>
          <w:szCs w:val="28"/>
        </w:rPr>
        <w:t>на розгляді – 1 431 звернення.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метою підвищення відповідальності виконавців за якість та своєчасність розгляду звернень управлінням по роботі зі зверненнями громадян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було вжито таких заходів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D6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кожного місяця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проводився аналіз зареєстрованих звернень громадян з висвітленням тематики порушених питань та подальше оприлюднення цих показників на офіційному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Дніпровської міської ради;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систематично надавалась методична та практична допомога спеціалістам виконавчих органів та комунальних підприємств міської ради з організації розгляду звернень громадян, підготовки відповідей на звернення тощо;</w:t>
      </w:r>
    </w:p>
    <w:p w:rsidR="00962019" w:rsidRPr="00ED75ED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 щоденно та щотижнево надсилались нагадування щодо дотримання термінів розгляду звернень громадян та звернень з особистих прийомів місь</w:t>
      </w:r>
      <w:r w:rsidRPr="00ED75ED"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голови та керівництва міської ради;</w:t>
      </w:r>
    </w:p>
    <w:p w:rsidR="00962019" w:rsidRDefault="00962019" w:rsidP="00962019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ED7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D75ED">
        <w:rPr>
          <w:rFonts w:ascii="Times New Roman" w:hAnsi="Times New Roman" w:cs="Times New Roman"/>
          <w:sz w:val="28"/>
          <w:szCs w:val="28"/>
        </w:rPr>
        <w:t>отижнево проводилась робота з відповідальними виконавцями щодо неухильного дотримання термінів розгляду письмових звернень громадян та звернень громадян на особистих прийомах к</w:t>
      </w:r>
      <w:r>
        <w:rPr>
          <w:rFonts w:ascii="Times New Roman" w:hAnsi="Times New Roman" w:cs="Times New Roman"/>
          <w:sz w:val="28"/>
          <w:szCs w:val="28"/>
        </w:rPr>
        <w:t>ерівництва виконавчого комітету;</w:t>
      </w:r>
    </w:p>
    <w:p w:rsidR="00962019" w:rsidRPr="00ED75ED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одились</w:t>
      </w: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перевірки та оцінювання рівня організації роботи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зі</w:t>
      </w:r>
      <w:r w:rsidRPr="00FD6B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зверненнями громадян у виконавчих органах міської ради.</w:t>
      </w:r>
    </w:p>
    <w:p w:rsidR="00962019" w:rsidRDefault="00962019" w:rsidP="00962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Дніпровській міській раді вжито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сіх заходів 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удосконалення роботи зі зверненнями громадян, підвищення відповідальності органів місцевого самоврядування за стан реагування на обґрунтовані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ропозиції, заяви, скарги громадян, розв’язання проблем, які спричиняють такі звернення. Завдяки системній роботі зі зверненнями громадян у місті створено необхідні умови для реалізації жителями конституційного права на звернення. </w:t>
      </w:r>
    </w:p>
    <w:p w:rsidR="00962019" w:rsidRPr="006666DA" w:rsidRDefault="00962019" w:rsidP="00962019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Робота зі зверненнями громадян перебуває на постійному контролі 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Дніпровській міській раді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спрямована на безумовне виконання вимог Закону України «Про звернення громадян» та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Указу Президента України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 07.02.2008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№ 109 «Про першочергові захо</w:t>
      </w:r>
      <w:r w:rsidR="002E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 щодо забезпечення реалізації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та гарантування конституційного права на звернення до органів державної влади та органів місцевого самоврядування».</w:t>
      </w:r>
    </w:p>
    <w:p w:rsidR="00962019" w:rsidRDefault="00962019" w:rsidP="00962019"/>
    <w:sectPr w:rsidR="00962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3FE"/>
    <w:multiLevelType w:val="hybridMultilevel"/>
    <w:tmpl w:val="F7286F24"/>
    <w:lvl w:ilvl="0" w:tplc="CE485B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8"/>
    <w:rsid w:val="002277FE"/>
    <w:rsid w:val="002E4EEC"/>
    <w:rsid w:val="003A753E"/>
    <w:rsid w:val="00420D26"/>
    <w:rsid w:val="00531AD8"/>
    <w:rsid w:val="007D6DA8"/>
    <w:rsid w:val="008B4066"/>
    <w:rsid w:val="00962019"/>
    <w:rsid w:val="00B317B7"/>
    <w:rsid w:val="00BA0924"/>
    <w:rsid w:val="00C15730"/>
    <w:rsid w:val="00E968C6"/>
    <w:rsid w:val="00F172FE"/>
    <w:rsid w:val="00F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A56"/>
  <w15:chartTrackingRefBased/>
  <w15:docId w15:val="{7EA8ECEA-BA30-4268-A9E3-9B9D596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201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53E"/>
    <w:rPr>
      <w:rFonts w:ascii="Segoe UI" w:eastAsia="Arial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5811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Сергіївна Волобуева</dc:creator>
  <cp:keywords/>
  <dc:description/>
  <cp:lastModifiedBy>Дарья Сергіївна Волобуева</cp:lastModifiedBy>
  <cp:revision>13</cp:revision>
  <cp:lastPrinted>2020-08-14T13:15:00Z</cp:lastPrinted>
  <dcterms:created xsi:type="dcterms:W3CDTF">2020-08-14T09:20:00Z</dcterms:created>
  <dcterms:modified xsi:type="dcterms:W3CDTF">2020-08-14T13:25:00Z</dcterms:modified>
</cp:coreProperties>
</file>