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AD" w:rsidRDefault="001218AD" w:rsidP="00E97B39">
      <w:pPr>
        <w:spacing w:after="0" w:line="240" w:lineRule="auto"/>
        <w:jc w:val="center"/>
        <w:textAlignment w:val="top"/>
        <w:rPr>
          <w:rFonts w:ascii="Times New Roman" w:eastAsia="Times New Roman" w:hAnsi="Times New Roman"/>
          <w:b/>
          <w:sz w:val="28"/>
          <w:szCs w:val="28"/>
          <w:bdr w:val="none" w:sz="0" w:space="0" w:color="auto" w:frame="1"/>
          <w:lang w:eastAsia="uk-UA"/>
        </w:rPr>
      </w:pPr>
      <w:bookmarkStart w:id="0" w:name="_GoBack"/>
      <w:bookmarkEnd w:id="0"/>
    </w:p>
    <w:p w:rsidR="004C6F32" w:rsidRPr="000122D3" w:rsidRDefault="004C6F32" w:rsidP="00E97B39">
      <w:pPr>
        <w:spacing w:after="0" w:line="240" w:lineRule="auto"/>
        <w:jc w:val="center"/>
        <w:textAlignment w:val="top"/>
        <w:rPr>
          <w:rFonts w:ascii="Times New Roman" w:eastAsia="Times New Roman" w:hAnsi="Times New Roman"/>
          <w:b/>
          <w:sz w:val="28"/>
          <w:szCs w:val="28"/>
          <w:bdr w:val="none" w:sz="0" w:space="0" w:color="auto" w:frame="1"/>
          <w:lang w:eastAsia="uk-UA"/>
        </w:rPr>
      </w:pPr>
      <w:r w:rsidRPr="000122D3">
        <w:rPr>
          <w:rFonts w:ascii="Times New Roman" w:eastAsia="Times New Roman" w:hAnsi="Times New Roman"/>
          <w:b/>
          <w:sz w:val="28"/>
          <w:szCs w:val="28"/>
          <w:bdr w:val="none" w:sz="0" w:space="0" w:color="auto" w:frame="1"/>
          <w:lang w:eastAsia="uk-UA"/>
        </w:rPr>
        <w:t>ЗВІТ</w:t>
      </w:r>
    </w:p>
    <w:p w:rsidR="00EC51E9" w:rsidRDefault="004C6F32" w:rsidP="00EC51E9">
      <w:pPr>
        <w:spacing w:after="0" w:line="240" w:lineRule="auto"/>
        <w:jc w:val="center"/>
        <w:textAlignment w:val="top"/>
        <w:rPr>
          <w:rFonts w:ascii="Times New Roman" w:eastAsia="Times New Roman" w:hAnsi="Times New Roman"/>
          <w:sz w:val="28"/>
          <w:szCs w:val="28"/>
          <w:bdr w:val="none" w:sz="0" w:space="0" w:color="auto" w:frame="1"/>
          <w:lang w:eastAsia="uk-UA"/>
        </w:rPr>
      </w:pPr>
      <w:r w:rsidRPr="000122D3">
        <w:rPr>
          <w:rFonts w:ascii="Times New Roman" w:eastAsia="Times New Roman" w:hAnsi="Times New Roman"/>
          <w:sz w:val="28"/>
          <w:szCs w:val="28"/>
          <w:bdr w:val="none" w:sz="0" w:space="0" w:color="auto" w:frame="1"/>
          <w:lang w:eastAsia="uk-UA"/>
        </w:rPr>
        <w:t xml:space="preserve">про </w:t>
      </w:r>
      <w:r w:rsidR="005E1CF3" w:rsidRPr="000122D3">
        <w:rPr>
          <w:rFonts w:ascii="Times New Roman" w:eastAsia="Times New Roman" w:hAnsi="Times New Roman"/>
          <w:sz w:val="28"/>
          <w:szCs w:val="28"/>
          <w:bdr w:val="none" w:sz="0" w:space="0" w:color="auto" w:frame="1"/>
          <w:lang w:eastAsia="uk-UA"/>
        </w:rPr>
        <w:t>п</w:t>
      </w:r>
      <w:r w:rsidR="00EC51E9">
        <w:rPr>
          <w:rFonts w:ascii="Times New Roman" w:eastAsia="Times New Roman" w:hAnsi="Times New Roman"/>
          <w:sz w:val="28"/>
          <w:szCs w:val="28"/>
          <w:bdr w:val="none" w:sz="0" w:space="0" w:color="auto" w:frame="1"/>
          <w:lang w:eastAsia="uk-UA"/>
        </w:rPr>
        <w:t>овторне</w:t>
      </w:r>
      <w:r w:rsidRPr="000122D3">
        <w:rPr>
          <w:rFonts w:ascii="Times New Roman" w:eastAsia="Times New Roman" w:hAnsi="Times New Roman"/>
          <w:sz w:val="28"/>
          <w:szCs w:val="28"/>
          <w:bdr w:val="none" w:sz="0" w:space="0" w:color="auto" w:frame="1"/>
          <w:lang w:eastAsia="uk-UA"/>
        </w:rPr>
        <w:t xml:space="preserve"> відстеження </w:t>
      </w:r>
      <w:r w:rsidR="001B2B39" w:rsidRPr="000122D3">
        <w:rPr>
          <w:rFonts w:ascii="Times New Roman" w:eastAsia="Times New Roman" w:hAnsi="Times New Roman"/>
          <w:sz w:val="28"/>
          <w:szCs w:val="28"/>
          <w:bdr w:val="none" w:sz="0" w:space="0" w:color="auto" w:frame="1"/>
          <w:lang w:eastAsia="uk-UA"/>
        </w:rPr>
        <w:t xml:space="preserve">результативності </w:t>
      </w:r>
      <w:r w:rsidRPr="000122D3">
        <w:rPr>
          <w:rFonts w:ascii="Times New Roman" w:eastAsia="Times New Roman" w:hAnsi="Times New Roman"/>
          <w:sz w:val="28"/>
          <w:szCs w:val="28"/>
          <w:bdr w:val="none" w:sz="0" w:space="0" w:color="auto" w:frame="1"/>
          <w:lang w:eastAsia="uk-UA"/>
        </w:rPr>
        <w:t xml:space="preserve">регуляторного </w:t>
      </w:r>
      <w:proofErr w:type="spellStart"/>
      <w:r w:rsidRPr="000122D3">
        <w:rPr>
          <w:rFonts w:ascii="Times New Roman" w:eastAsia="Times New Roman" w:hAnsi="Times New Roman"/>
          <w:sz w:val="28"/>
          <w:szCs w:val="28"/>
          <w:bdr w:val="none" w:sz="0" w:space="0" w:color="auto" w:frame="1"/>
          <w:lang w:eastAsia="uk-UA"/>
        </w:rPr>
        <w:t>акт</w:t>
      </w:r>
      <w:r w:rsidR="00FA72DA" w:rsidRPr="000122D3">
        <w:rPr>
          <w:rFonts w:ascii="Times New Roman" w:eastAsia="Times New Roman" w:hAnsi="Times New Roman"/>
          <w:sz w:val="28"/>
          <w:szCs w:val="28"/>
          <w:bdr w:val="none" w:sz="0" w:space="0" w:color="auto" w:frame="1"/>
          <w:lang w:eastAsia="uk-UA"/>
        </w:rPr>
        <w:t>а</w:t>
      </w:r>
      <w:proofErr w:type="spellEnd"/>
      <w:r w:rsidR="001B2B39" w:rsidRPr="000122D3">
        <w:rPr>
          <w:rFonts w:ascii="Times New Roman" w:eastAsia="Times New Roman" w:hAnsi="Times New Roman"/>
          <w:sz w:val="28"/>
          <w:szCs w:val="28"/>
          <w:bdr w:val="none" w:sz="0" w:space="0" w:color="auto" w:frame="1"/>
          <w:lang w:eastAsia="uk-UA"/>
        </w:rPr>
        <w:t xml:space="preserve"> </w:t>
      </w:r>
      <w:r w:rsidR="00FA72DA" w:rsidRPr="000122D3">
        <w:rPr>
          <w:rFonts w:ascii="Times New Roman" w:eastAsia="Times New Roman" w:hAnsi="Times New Roman"/>
          <w:sz w:val="28"/>
          <w:szCs w:val="28"/>
          <w:bdr w:val="none" w:sz="0" w:space="0" w:color="auto" w:frame="1"/>
          <w:lang w:eastAsia="uk-UA"/>
        </w:rPr>
        <w:t>–</w:t>
      </w:r>
      <w:r w:rsidR="001B2B39" w:rsidRPr="000122D3">
        <w:rPr>
          <w:rFonts w:ascii="Times New Roman" w:eastAsia="Times New Roman" w:hAnsi="Times New Roman"/>
          <w:sz w:val="28"/>
          <w:szCs w:val="28"/>
          <w:bdr w:val="none" w:sz="0" w:space="0" w:color="auto" w:frame="1"/>
          <w:lang w:eastAsia="uk-UA"/>
        </w:rPr>
        <w:t xml:space="preserve"> </w:t>
      </w:r>
      <w:r w:rsidR="00711571">
        <w:rPr>
          <w:rFonts w:ascii="Times New Roman" w:eastAsia="Times New Roman" w:hAnsi="Times New Roman"/>
          <w:sz w:val="28"/>
          <w:szCs w:val="28"/>
          <w:bdr w:val="none" w:sz="0" w:space="0" w:color="auto" w:frame="1"/>
          <w:lang w:eastAsia="uk-UA"/>
        </w:rPr>
        <w:t xml:space="preserve">                </w:t>
      </w:r>
      <w:r w:rsidR="00947007" w:rsidRPr="000122D3">
        <w:rPr>
          <w:rFonts w:ascii="Times New Roman" w:eastAsia="Times New Roman" w:hAnsi="Times New Roman"/>
          <w:sz w:val="28"/>
          <w:szCs w:val="28"/>
          <w:bdr w:val="none" w:sz="0" w:space="0" w:color="auto" w:frame="1"/>
          <w:lang w:eastAsia="uk-UA"/>
        </w:rPr>
        <w:t>р</w:t>
      </w:r>
      <w:r w:rsidR="00972310" w:rsidRPr="000122D3">
        <w:rPr>
          <w:rFonts w:ascii="Times New Roman" w:eastAsia="Times New Roman" w:hAnsi="Times New Roman"/>
          <w:sz w:val="28"/>
          <w:szCs w:val="28"/>
          <w:bdr w:val="none" w:sz="0" w:space="0" w:color="auto" w:frame="1"/>
          <w:lang w:eastAsia="uk-UA"/>
        </w:rPr>
        <w:t xml:space="preserve">ішення </w:t>
      </w:r>
      <w:hyperlink r:id="rId6" w:tooltip="Скачать этот файл (95_24.pdf)" w:history="1">
        <w:r w:rsidR="001E59E2" w:rsidRPr="001E59E2">
          <w:rPr>
            <w:rStyle w:val="a6"/>
            <w:rFonts w:ascii="Times New Roman" w:eastAsia="Times New Roman" w:hAnsi="Times New Roman"/>
            <w:color w:val="auto"/>
            <w:sz w:val="28"/>
            <w:szCs w:val="28"/>
            <w:u w:val="none"/>
            <w:bdr w:val="none" w:sz="0" w:space="0" w:color="auto" w:frame="1"/>
            <w:lang w:eastAsia="uk-UA"/>
          </w:rPr>
          <w:t>міської ради від 19.09.2018 № 96/35</w:t>
        </w:r>
        <w:r w:rsidR="00711571" w:rsidRPr="001E59E2">
          <w:rPr>
            <w:rStyle w:val="a6"/>
            <w:rFonts w:ascii="Times New Roman" w:eastAsia="Times New Roman" w:hAnsi="Times New Roman"/>
            <w:color w:val="auto"/>
            <w:sz w:val="28"/>
            <w:szCs w:val="28"/>
            <w:u w:val="none"/>
            <w:bdr w:val="none" w:sz="0" w:space="0" w:color="auto" w:frame="1"/>
            <w:lang w:eastAsia="uk-UA"/>
          </w:rPr>
          <w:t xml:space="preserve"> «Про затвер</w:t>
        </w:r>
      </w:hyperlink>
      <w:r w:rsidR="00711571" w:rsidRPr="001E59E2">
        <w:rPr>
          <w:rFonts w:ascii="Times New Roman" w:eastAsia="Times New Roman" w:hAnsi="Times New Roman"/>
          <w:sz w:val="28"/>
          <w:szCs w:val="28"/>
          <w:bdr w:val="none" w:sz="0" w:space="0" w:color="auto" w:frame="1"/>
          <w:lang w:eastAsia="uk-UA"/>
        </w:rPr>
        <w:t xml:space="preserve">дження </w:t>
      </w:r>
      <w:r w:rsidR="001E59E2">
        <w:rPr>
          <w:rFonts w:ascii="Times New Roman" w:hAnsi="Times New Roman"/>
          <w:sz w:val="28"/>
          <w:szCs w:val="28"/>
        </w:rPr>
        <w:t>Поряд</w:t>
      </w:r>
      <w:r w:rsidR="001E59E2" w:rsidRPr="001E59E2">
        <w:rPr>
          <w:rFonts w:ascii="Times New Roman" w:hAnsi="Times New Roman"/>
          <w:sz w:val="28"/>
          <w:szCs w:val="28"/>
        </w:rPr>
        <w:t>к</w:t>
      </w:r>
      <w:r w:rsidR="001E59E2">
        <w:rPr>
          <w:rFonts w:ascii="Times New Roman" w:hAnsi="Times New Roman"/>
          <w:sz w:val="28"/>
          <w:szCs w:val="28"/>
        </w:rPr>
        <w:t>у</w:t>
      </w:r>
      <w:r w:rsidR="001E59E2" w:rsidRPr="001E59E2">
        <w:rPr>
          <w:rFonts w:ascii="Times New Roman" w:hAnsi="Times New Roman"/>
          <w:sz w:val="28"/>
          <w:szCs w:val="28"/>
        </w:rPr>
        <w:t xml:space="preserve"> передачі об’єктів (елементів) благоустрою м. Дніпра в тимчасове використання не за функціональним призначенням </w:t>
      </w:r>
      <w:r w:rsidR="001E59E2" w:rsidRPr="001E59E2">
        <w:rPr>
          <w:rFonts w:ascii="Times New Roman" w:hAnsi="Times New Roman"/>
          <w:sz w:val="28"/>
          <w:szCs w:val="28"/>
          <w:lang w:eastAsia="zh-CN"/>
        </w:rPr>
        <w:t>для здійснення господарської діяльності у сфері споживчого ринку та послуг</w:t>
      </w:r>
      <w:r w:rsidR="00711571" w:rsidRPr="001E59E2">
        <w:rPr>
          <w:rFonts w:ascii="Times New Roman" w:eastAsia="Times New Roman" w:hAnsi="Times New Roman"/>
          <w:sz w:val="28"/>
          <w:szCs w:val="28"/>
          <w:bdr w:val="none" w:sz="0" w:space="0" w:color="auto" w:frame="1"/>
          <w:lang w:eastAsia="uk-UA"/>
        </w:rPr>
        <w:t>»</w:t>
      </w:r>
    </w:p>
    <w:p w:rsidR="00AF6846" w:rsidRDefault="00AF6846" w:rsidP="00EC51E9">
      <w:pPr>
        <w:spacing w:after="0" w:line="240" w:lineRule="auto"/>
        <w:jc w:val="center"/>
        <w:textAlignment w:val="top"/>
        <w:rPr>
          <w:rFonts w:ascii="Times New Roman" w:eastAsia="Times New Roman" w:hAnsi="Times New Roman"/>
          <w:sz w:val="28"/>
          <w:szCs w:val="28"/>
          <w:bdr w:val="none" w:sz="0" w:space="0" w:color="auto" w:frame="1"/>
          <w:lang w:eastAsia="uk-UA"/>
        </w:rPr>
      </w:pPr>
    </w:p>
    <w:p w:rsidR="006B0491" w:rsidRPr="00AF6846" w:rsidRDefault="006B0491" w:rsidP="00EC51E9">
      <w:pPr>
        <w:spacing w:after="0" w:line="240" w:lineRule="auto"/>
        <w:jc w:val="center"/>
        <w:textAlignment w:val="top"/>
        <w:rPr>
          <w:rFonts w:ascii="Times New Roman" w:eastAsia="Times New Roman" w:hAnsi="Times New Roman"/>
          <w:sz w:val="28"/>
          <w:szCs w:val="28"/>
          <w:bdr w:val="none" w:sz="0" w:space="0" w:color="auto" w:frame="1"/>
          <w:lang w:eastAsia="uk-UA"/>
        </w:rPr>
      </w:pPr>
    </w:p>
    <w:p w:rsidR="00711571" w:rsidRPr="001218AD" w:rsidRDefault="001218AD" w:rsidP="001218AD">
      <w:pPr>
        <w:numPr>
          <w:ilvl w:val="0"/>
          <w:numId w:val="12"/>
        </w:numPr>
        <w:spacing w:after="0" w:line="240" w:lineRule="auto"/>
        <w:ind w:left="0" w:firstLine="709"/>
        <w:jc w:val="both"/>
        <w:textAlignment w:val="top"/>
        <w:rPr>
          <w:rFonts w:ascii="Times New Roman" w:eastAsia="Times New Roman" w:hAnsi="Times New Roman"/>
          <w:sz w:val="28"/>
          <w:szCs w:val="28"/>
          <w:bdr w:val="none" w:sz="0" w:space="0" w:color="auto" w:frame="1"/>
          <w:lang w:eastAsia="uk-UA"/>
        </w:rPr>
      </w:pPr>
      <w:r w:rsidRPr="001218AD">
        <w:rPr>
          <w:rFonts w:ascii="Times New Roman" w:eastAsia="Times New Roman" w:hAnsi="Times New Roman"/>
          <w:b/>
          <w:sz w:val="28"/>
          <w:szCs w:val="28"/>
          <w:bdr w:val="none" w:sz="0" w:space="0" w:color="auto" w:frame="1"/>
          <w:lang w:eastAsia="uk-UA"/>
        </w:rPr>
        <w:t xml:space="preserve">Вид та назва регуляторного </w:t>
      </w:r>
      <w:proofErr w:type="spellStart"/>
      <w:r w:rsidRPr="001218AD">
        <w:rPr>
          <w:rFonts w:ascii="Times New Roman" w:eastAsia="Times New Roman" w:hAnsi="Times New Roman"/>
          <w:b/>
          <w:sz w:val="28"/>
          <w:szCs w:val="28"/>
          <w:bdr w:val="none" w:sz="0" w:space="0" w:color="auto" w:frame="1"/>
          <w:lang w:eastAsia="uk-UA"/>
        </w:rPr>
        <w:t>акта</w:t>
      </w:r>
      <w:proofErr w:type="spellEnd"/>
      <w:r>
        <w:rPr>
          <w:rFonts w:ascii="Times New Roman" w:eastAsia="Times New Roman" w:hAnsi="Times New Roman"/>
          <w:b/>
          <w:sz w:val="28"/>
          <w:szCs w:val="28"/>
          <w:bdr w:val="none" w:sz="0" w:space="0" w:color="auto" w:frame="1"/>
          <w:lang w:eastAsia="uk-UA"/>
        </w:rPr>
        <w:t xml:space="preserve">, результативність якого відстежується: </w:t>
      </w:r>
      <w:r w:rsidRPr="001218AD">
        <w:rPr>
          <w:rFonts w:ascii="Times New Roman" w:eastAsia="Times New Roman" w:hAnsi="Times New Roman"/>
          <w:b/>
          <w:sz w:val="28"/>
          <w:szCs w:val="28"/>
          <w:bdr w:val="none" w:sz="0" w:space="0" w:color="auto" w:frame="1"/>
          <w:lang w:eastAsia="uk-UA"/>
        </w:rPr>
        <w:t xml:space="preserve"> </w:t>
      </w:r>
      <w:r>
        <w:rPr>
          <w:rFonts w:ascii="Times New Roman" w:eastAsia="Times New Roman" w:hAnsi="Times New Roman"/>
          <w:sz w:val="28"/>
          <w:szCs w:val="28"/>
          <w:bdr w:val="none" w:sz="0" w:space="0" w:color="auto" w:frame="1"/>
          <w:lang w:eastAsia="uk-UA"/>
        </w:rPr>
        <w:t>р</w:t>
      </w:r>
      <w:r w:rsidR="00711571" w:rsidRPr="001218AD">
        <w:rPr>
          <w:rFonts w:ascii="Times New Roman" w:eastAsia="Times New Roman" w:hAnsi="Times New Roman"/>
          <w:sz w:val="28"/>
          <w:szCs w:val="28"/>
          <w:bdr w:val="none" w:sz="0" w:space="0" w:color="auto" w:frame="1"/>
          <w:lang w:eastAsia="uk-UA"/>
        </w:rPr>
        <w:t xml:space="preserve">ішення </w:t>
      </w:r>
      <w:hyperlink r:id="rId7" w:tooltip="Скачать этот файл (95_24.pdf)" w:history="1">
        <w:r w:rsidR="001E59E2" w:rsidRPr="001218AD">
          <w:rPr>
            <w:rStyle w:val="a6"/>
            <w:rFonts w:ascii="Times New Roman" w:eastAsia="Times New Roman" w:hAnsi="Times New Roman"/>
            <w:color w:val="auto"/>
            <w:sz w:val="28"/>
            <w:szCs w:val="28"/>
            <w:u w:val="none"/>
            <w:bdr w:val="none" w:sz="0" w:space="0" w:color="auto" w:frame="1"/>
            <w:lang w:eastAsia="uk-UA"/>
          </w:rPr>
          <w:t>міської ради від 19.09.2018 № 96/35 «Про затвер</w:t>
        </w:r>
      </w:hyperlink>
      <w:r w:rsidR="001E59E2" w:rsidRPr="001218AD">
        <w:rPr>
          <w:rFonts w:ascii="Times New Roman" w:eastAsia="Times New Roman" w:hAnsi="Times New Roman"/>
          <w:sz w:val="28"/>
          <w:szCs w:val="28"/>
          <w:bdr w:val="none" w:sz="0" w:space="0" w:color="auto" w:frame="1"/>
          <w:lang w:eastAsia="uk-UA"/>
        </w:rPr>
        <w:t xml:space="preserve">дження </w:t>
      </w:r>
      <w:r w:rsidR="001E59E2" w:rsidRPr="001218AD">
        <w:rPr>
          <w:rFonts w:ascii="Times New Roman" w:hAnsi="Times New Roman"/>
          <w:sz w:val="28"/>
          <w:szCs w:val="28"/>
        </w:rPr>
        <w:t xml:space="preserve">Порядку передачі об’єктів (елементів) благоустрою м. Дніпра в тимчасове використання не за функціональним призначенням </w:t>
      </w:r>
      <w:r w:rsidR="001E59E2" w:rsidRPr="001218AD">
        <w:rPr>
          <w:rFonts w:ascii="Times New Roman" w:hAnsi="Times New Roman"/>
          <w:sz w:val="28"/>
          <w:szCs w:val="28"/>
          <w:lang w:eastAsia="zh-CN"/>
        </w:rPr>
        <w:t>для здійснення господарської діяльності у сфері споживчого ринку та послуг</w:t>
      </w:r>
      <w:r w:rsidR="001E59E2" w:rsidRPr="001218AD">
        <w:rPr>
          <w:rFonts w:ascii="Times New Roman" w:eastAsia="Times New Roman" w:hAnsi="Times New Roman"/>
          <w:sz w:val="28"/>
          <w:szCs w:val="28"/>
          <w:bdr w:val="none" w:sz="0" w:space="0" w:color="auto" w:frame="1"/>
          <w:lang w:eastAsia="uk-UA"/>
        </w:rPr>
        <w:t xml:space="preserve">» </w:t>
      </w:r>
      <w:r w:rsidR="00B450D5" w:rsidRPr="001218AD">
        <w:rPr>
          <w:rFonts w:ascii="Times New Roman" w:eastAsia="Times New Roman" w:hAnsi="Times New Roman"/>
          <w:sz w:val="28"/>
          <w:szCs w:val="28"/>
          <w:bdr w:val="none" w:sz="0" w:space="0" w:color="auto" w:frame="1"/>
          <w:lang w:eastAsia="uk-UA"/>
        </w:rPr>
        <w:t xml:space="preserve">(далі – </w:t>
      </w:r>
      <w:r>
        <w:rPr>
          <w:rFonts w:ascii="Times New Roman" w:eastAsia="Times New Roman" w:hAnsi="Times New Roman"/>
          <w:sz w:val="28"/>
          <w:szCs w:val="28"/>
          <w:bdr w:val="none" w:sz="0" w:space="0" w:color="auto" w:frame="1"/>
          <w:lang w:eastAsia="uk-UA"/>
        </w:rPr>
        <w:t>РА</w:t>
      </w:r>
      <w:r w:rsidR="00B450D5" w:rsidRPr="001218AD">
        <w:rPr>
          <w:rFonts w:ascii="Times New Roman" w:eastAsia="Times New Roman" w:hAnsi="Times New Roman"/>
          <w:sz w:val="28"/>
          <w:szCs w:val="28"/>
          <w:bdr w:val="none" w:sz="0" w:space="0" w:color="auto" w:frame="1"/>
          <w:lang w:eastAsia="uk-UA"/>
        </w:rPr>
        <w:t>)</w:t>
      </w:r>
      <w:r w:rsidR="00986A08" w:rsidRPr="001218AD">
        <w:rPr>
          <w:rFonts w:ascii="Times New Roman" w:eastAsia="Times New Roman" w:hAnsi="Times New Roman"/>
          <w:sz w:val="28"/>
          <w:szCs w:val="28"/>
          <w:bdr w:val="none" w:sz="0" w:space="0" w:color="auto" w:frame="1"/>
          <w:lang w:eastAsia="uk-UA"/>
        </w:rPr>
        <w:t>.</w:t>
      </w:r>
    </w:p>
    <w:p w:rsidR="00986A08" w:rsidRDefault="00986A08"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p>
    <w:p w:rsidR="001218AD" w:rsidRPr="001F4CCF" w:rsidRDefault="001218AD"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p>
    <w:p w:rsidR="00307ACB" w:rsidRPr="000122D3" w:rsidRDefault="002440BB" w:rsidP="001218AD">
      <w:pPr>
        <w:spacing w:after="0" w:line="240" w:lineRule="auto"/>
        <w:ind w:firstLine="709"/>
        <w:jc w:val="both"/>
        <w:textAlignment w:val="top"/>
        <w:rPr>
          <w:rFonts w:ascii="Times New Roman" w:hAnsi="Times New Roman"/>
          <w:bCs/>
          <w:sz w:val="28"/>
          <w:szCs w:val="28"/>
        </w:rPr>
      </w:pPr>
      <w:r>
        <w:rPr>
          <w:rFonts w:ascii="Times New Roman" w:eastAsia="Times New Roman" w:hAnsi="Times New Roman"/>
          <w:b/>
          <w:sz w:val="28"/>
          <w:szCs w:val="28"/>
          <w:bdr w:val="none" w:sz="0" w:space="0" w:color="auto" w:frame="1"/>
          <w:lang w:eastAsia="uk-UA"/>
        </w:rPr>
        <w:t>2. Виконав</w:t>
      </w:r>
      <w:r w:rsidR="001218AD">
        <w:rPr>
          <w:rFonts w:ascii="Times New Roman" w:eastAsia="Times New Roman" w:hAnsi="Times New Roman"/>
          <w:b/>
          <w:sz w:val="28"/>
          <w:szCs w:val="28"/>
          <w:bdr w:val="none" w:sz="0" w:space="0" w:color="auto" w:frame="1"/>
          <w:lang w:eastAsia="uk-UA"/>
        </w:rPr>
        <w:t>е</w:t>
      </w:r>
      <w:r w:rsidR="004C6F32" w:rsidRPr="000122D3">
        <w:rPr>
          <w:rFonts w:ascii="Times New Roman" w:eastAsia="Times New Roman" w:hAnsi="Times New Roman"/>
          <w:b/>
          <w:sz w:val="28"/>
          <w:szCs w:val="28"/>
          <w:bdr w:val="none" w:sz="0" w:space="0" w:color="auto" w:frame="1"/>
          <w:lang w:eastAsia="uk-UA"/>
        </w:rPr>
        <w:t>ц</w:t>
      </w:r>
      <w:r w:rsidR="001218AD">
        <w:rPr>
          <w:rFonts w:ascii="Times New Roman" w:eastAsia="Times New Roman" w:hAnsi="Times New Roman"/>
          <w:b/>
          <w:sz w:val="28"/>
          <w:szCs w:val="28"/>
          <w:bdr w:val="none" w:sz="0" w:space="0" w:color="auto" w:frame="1"/>
          <w:lang w:eastAsia="uk-UA"/>
        </w:rPr>
        <w:t>ь</w:t>
      </w:r>
      <w:r w:rsidR="001111BC">
        <w:rPr>
          <w:rFonts w:ascii="Times New Roman" w:eastAsia="Times New Roman" w:hAnsi="Times New Roman"/>
          <w:b/>
          <w:sz w:val="28"/>
          <w:szCs w:val="28"/>
          <w:bdr w:val="none" w:sz="0" w:space="0" w:color="auto" w:frame="1"/>
          <w:lang w:eastAsia="uk-UA"/>
        </w:rPr>
        <w:t xml:space="preserve"> заходів </w:t>
      </w:r>
      <w:r w:rsidR="001218AD">
        <w:rPr>
          <w:rFonts w:ascii="Times New Roman" w:eastAsia="Times New Roman" w:hAnsi="Times New Roman"/>
          <w:b/>
          <w:sz w:val="28"/>
          <w:szCs w:val="28"/>
          <w:bdr w:val="none" w:sz="0" w:space="0" w:color="auto" w:frame="1"/>
          <w:lang w:eastAsia="uk-UA"/>
        </w:rPr>
        <w:t>і</w:t>
      </w:r>
      <w:r w:rsidR="001111BC">
        <w:rPr>
          <w:rFonts w:ascii="Times New Roman" w:eastAsia="Times New Roman" w:hAnsi="Times New Roman"/>
          <w:b/>
          <w:sz w:val="28"/>
          <w:szCs w:val="28"/>
          <w:bdr w:val="none" w:sz="0" w:space="0" w:color="auto" w:frame="1"/>
          <w:lang w:eastAsia="uk-UA"/>
        </w:rPr>
        <w:t>з відстеження</w:t>
      </w:r>
      <w:r w:rsidR="001218AD">
        <w:rPr>
          <w:rFonts w:ascii="Times New Roman" w:eastAsia="Times New Roman" w:hAnsi="Times New Roman"/>
          <w:b/>
          <w:sz w:val="28"/>
          <w:szCs w:val="28"/>
          <w:bdr w:val="none" w:sz="0" w:space="0" w:color="auto" w:frame="1"/>
          <w:lang w:eastAsia="uk-UA"/>
        </w:rPr>
        <w:t xml:space="preserve">: </w:t>
      </w:r>
      <w:r w:rsidR="001218AD" w:rsidRPr="001218AD">
        <w:rPr>
          <w:rFonts w:ascii="Times New Roman" w:eastAsia="Times New Roman" w:hAnsi="Times New Roman"/>
          <w:sz w:val="28"/>
          <w:szCs w:val="28"/>
          <w:bdr w:val="none" w:sz="0" w:space="0" w:color="auto" w:frame="1"/>
          <w:lang w:eastAsia="uk-UA"/>
        </w:rPr>
        <w:t>і</w:t>
      </w:r>
      <w:r w:rsidR="001E59E2" w:rsidRPr="001218AD">
        <w:rPr>
          <w:rFonts w:ascii="Times New Roman" w:hAnsi="Times New Roman"/>
          <w:bCs/>
          <w:sz w:val="28"/>
          <w:szCs w:val="28"/>
        </w:rPr>
        <w:t>нспекція</w:t>
      </w:r>
      <w:r w:rsidR="001E59E2">
        <w:rPr>
          <w:rFonts w:ascii="Times New Roman" w:hAnsi="Times New Roman"/>
          <w:bCs/>
          <w:sz w:val="28"/>
          <w:szCs w:val="28"/>
        </w:rPr>
        <w:t xml:space="preserve"> з питань благоустрою</w:t>
      </w:r>
      <w:r w:rsidR="00592014" w:rsidRPr="000122D3">
        <w:rPr>
          <w:rFonts w:ascii="Times New Roman" w:hAnsi="Times New Roman"/>
          <w:bCs/>
          <w:sz w:val="28"/>
          <w:szCs w:val="28"/>
        </w:rPr>
        <w:t xml:space="preserve"> Дніпровської міської ради</w:t>
      </w:r>
      <w:r w:rsidR="00986A08">
        <w:rPr>
          <w:rFonts w:ascii="Times New Roman" w:hAnsi="Times New Roman"/>
          <w:bCs/>
          <w:sz w:val="28"/>
          <w:szCs w:val="28"/>
        </w:rPr>
        <w:t>.</w:t>
      </w:r>
    </w:p>
    <w:p w:rsidR="00592014" w:rsidRDefault="00592014" w:rsidP="00592014">
      <w:pPr>
        <w:spacing w:after="0" w:line="240" w:lineRule="auto"/>
        <w:ind w:firstLine="708"/>
        <w:jc w:val="both"/>
        <w:rPr>
          <w:rFonts w:ascii="Times New Roman" w:eastAsia="Times New Roman" w:hAnsi="Times New Roman"/>
          <w:b/>
          <w:sz w:val="28"/>
          <w:szCs w:val="28"/>
          <w:bdr w:val="none" w:sz="0" w:space="0" w:color="auto" w:frame="1"/>
          <w:lang w:eastAsia="uk-UA"/>
        </w:rPr>
      </w:pPr>
    </w:p>
    <w:p w:rsidR="001218AD" w:rsidRPr="001F4CCF" w:rsidRDefault="001218AD" w:rsidP="00592014">
      <w:pPr>
        <w:spacing w:after="0" w:line="240" w:lineRule="auto"/>
        <w:ind w:firstLine="708"/>
        <w:jc w:val="both"/>
        <w:rPr>
          <w:rFonts w:ascii="Times New Roman" w:eastAsia="Times New Roman" w:hAnsi="Times New Roman"/>
          <w:b/>
          <w:sz w:val="28"/>
          <w:szCs w:val="28"/>
          <w:bdr w:val="none" w:sz="0" w:space="0" w:color="auto" w:frame="1"/>
          <w:lang w:eastAsia="uk-UA"/>
        </w:rPr>
      </w:pPr>
    </w:p>
    <w:p w:rsidR="001B2B39" w:rsidRPr="000122D3" w:rsidRDefault="004C6F32"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r w:rsidRPr="000122D3">
        <w:rPr>
          <w:rFonts w:ascii="Times New Roman" w:eastAsia="Times New Roman" w:hAnsi="Times New Roman"/>
          <w:b/>
          <w:sz w:val="28"/>
          <w:szCs w:val="28"/>
          <w:bdr w:val="none" w:sz="0" w:space="0" w:color="auto" w:frame="1"/>
          <w:lang w:eastAsia="uk-UA"/>
        </w:rPr>
        <w:t>3.</w:t>
      </w:r>
      <w:r w:rsidR="001B2B39" w:rsidRPr="000122D3">
        <w:rPr>
          <w:rFonts w:ascii="Times New Roman" w:eastAsia="Times New Roman" w:hAnsi="Times New Roman"/>
          <w:b/>
          <w:sz w:val="28"/>
          <w:szCs w:val="28"/>
          <w:bdr w:val="none" w:sz="0" w:space="0" w:color="auto" w:frame="1"/>
          <w:lang w:eastAsia="uk-UA"/>
        </w:rPr>
        <w:t xml:space="preserve"> </w:t>
      </w:r>
      <w:r w:rsidRPr="000122D3">
        <w:rPr>
          <w:rFonts w:ascii="Times New Roman" w:eastAsia="Times New Roman" w:hAnsi="Times New Roman"/>
          <w:b/>
          <w:sz w:val="28"/>
          <w:szCs w:val="28"/>
          <w:bdr w:val="none" w:sz="0" w:space="0" w:color="auto" w:frame="1"/>
          <w:lang w:eastAsia="uk-UA"/>
        </w:rPr>
        <w:t>Ц</w:t>
      </w:r>
      <w:r w:rsidR="001B2B39" w:rsidRPr="000122D3">
        <w:rPr>
          <w:rFonts w:ascii="Times New Roman" w:eastAsia="Times New Roman" w:hAnsi="Times New Roman"/>
          <w:b/>
          <w:sz w:val="28"/>
          <w:szCs w:val="28"/>
          <w:bdr w:val="none" w:sz="0" w:space="0" w:color="auto" w:frame="1"/>
          <w:lang w:eastAsia="uk-UA"/>
        </w:rPr>
        <w:t xml:space="preserve">ілі прийняття регуляторного </w:t>
      </w:r>
      <w:proofErr w:type="spellStart"/>
      <w:r w:rsidR="001B2B39" w:rsidRPr="000122D3">
        <w:rPr>
          <w:rFonts w:ascii="Times New Roman" w:eastAsia="Times New Roman" w:hAnsi="Times New Roman"/>
          <w:b/>
          <w:sz w:val="28"/>
          <w:szCs w:val="28"/>
          <w:bdr w:val="none" w:sz="0" w:space="0" w:color="auto" w:frame="1"/>
          <w:lang w:eastAsia="uk-UA"/>
        </w:rPr>
        <w:t>акта</w:t>
      </w:r>
      <w:proofErr w:type="spellEnd"/>
      <w:r w:rsidR="001218AD">
        <w:rPr>
          <w:rFonts w:ascii="Times New Roman" w:eastAsia="Times New Roman" w:hAnsi="Times New Roman"/>
          <w:b/>
          <w:sz w:val="28"/>
          <w:szCs w:val="28"/>
          <w:bdr w:val="none" w:sz="0" w:space="0" w:color="auto" w:frame="1"/>
          <w:lang w:eastAsia="uk-UA"/>
        </w:rPr>
        <w:t xml:space="preserve">: </w:t>
      </w:r>
    </w:p>
    <w:p w:rsidR="00686C1D" w:rsidRPr="00686C1D" w:rsidRDefault="001218AD" w:rsidP="00686C1D">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w:t>
      </w:r>
      <w:r w:rsidR="00686C1D" w:rsidRPr="00686C1D">
        <w:rPr>
          <w:rFonts w:ascii="Times New Roman" w:hAnsi="Times New Roman"/>
          <w:bCs/>
          <w:iCs/>
          <w:spacing w:val="-4"/>
          <w:sz w:val="28"/>
          <w:szCs w:val="28"/>
        </w:rPr>
        <w:t xml:space="preserve"> встановлення </w:t>
      </w:r>
      <w:r w:rsidR="00686C1D" w:rsidRPr="00686C1D">
        <w:rPr>
          <w:rFonts w:ascii="Times New Roman" w:hAnsi="Times New Roman"/>
          <w:sz w:val="28"/>
          <w:szCs w:val="28"/>
        </w:rPr>
        <w:t>зонального розподілення території міста (історичний центр міста, червоні лінії вулиць, інші території);</w:t>
      </w:r>
    </w:p>
    <w:p w:rsidR="00686C1D" w:rsidRPr="00686C1D" w:rsidRDefault="001218AD" w:rsidP="00686C1D">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w:t>
      </w:r>
      <w:r w:rsidR="00686C1D" w:rsidRPr="00686C1D">
        <w:rPr>
          <w:rFonts w:ascii="Times New Roman" w:hAnsi="Times New Roman"/>
          <w:sz w:val="28"/>
          <w:szCs w:val="28"/>
        </w:rPr>
        <w:t xml:space="preserve"> застосування диференційованого підходу щодо визначення розміру оплати за тимчасове використання об'єктів (елементів) благоустрою м. Дніпра не за функціональним призначенням для здійснення господарської діяльності у сфері споживчого ринку та послуг, що перебувають у комунальній власності;</w:t>
      </w:r>
    </w:p>
    <w:p w:rsidR="00686C1D" w:rsidRPr="00686C1D" w:rsidRDefault="001218AD" w:rsidP="00686C1D">
      <w:pPr>
        <w:spacing w:after="0" w:line="240" w:lineRule="auto"/>
        <w:ind w:firstLine="567"/>
        <w:jc w:val="both"/>
        <w:rPr>
          <w:rFonts w:ascii="Times New Roman" w:hAnsi="Times New Roman"/>
          <w:b/>
          <w:sz w:val="28"/>
          <w:szCs w:val="28"/>
        </w:rPr>
      </w:pPr>
      <w:r>
        <w:rPr>
          <w:rFonts w:ascii="Times New Roman" w:eastAsia="Times New Roman" w:hAnsi="Times New Roman"/>
          <w:sz w:val="28"/>
          <w:szCs w:val="28"/>
          <w:lang w:eastAsia="ru-RU"/>
        </w:rPr>
        <w:t>–</w:t>
      </w:r>
      <w:r w:rsidR="00686C1D" w:rsidRPr="00686C1D">
        <w:rPr>
          <w:rFonts w:ascii="Times New Roman" w:hAnsi="Times New Roman"/>
          <w:sz w:val="28"/>
          <w:szCs w:val="28"/>
        </w:rPr>
        <w:t xml:space="preserve"> встановлення розміру оплати за зберігання тимчасових споруд у випадку їх зберігання КП «Благоустрій міста» у разі здійснення примусового демонтажу.</w:t>
      </w:r>
    </w:p>
    <w:p w:rsidR="004D3B5E" w:rsidRDefault="004D3B5E" w:rsidP="004C6F32">
      <w:pPr>
        <w:spacing w:after="0" w:line="240" w:lineRule="auto"/>
        <w:ind w:firstLine="709"/>
        <w:jc w:val="both"/>
        <w:textAlignment w:val="top"/>
        <w:rPr>
          <w:rFonts w:ascii="Times New Roman" w:eastAsia="Times New Roman" w:hAnsi="Times New Roman"/>
          <w:b/>
          <w:sz w:val="28"/>
          <w:szCs w:val="28"/>
          <w:bdr w:val="none" w:sz="0" w:space="0" w:color="auto" w:frame="1"/>
          <w:lang w:eastAsia="uk-UA"/>
        </w:rPr>
      </w:pPr>
    </w:p>
    <w:p w:rsidR="001218AD" w:rsidRPr="001F4CCF" w:rsidRDefault="001218AD" w:rsidP="004C6F32">
      <w:pPr>
        <w:spacing w:after="0" w:line="240" w:lineRule="auto"/>
        <w:ind w:firstLine="709"/>
        <w:jc w:val="both"/>
        <w:textAlignment w:val="top"/>
        <w:rPr>
          <w:rFonts w:ascii="Times New Roman" w:eastAsia="Times New Roman" w:hAnsi="Times New Roman"/>
          <w:b/>
          <w:sz w:val="28"/>
          <w:szCs w:val="28"/>
          <w:bdr w:val="none" w:sz="0" w:space="0" w:color="auto" w:frame="1"/>
          <w:lang w:eastAsia="uk-UA"/>
        </w:rPr>
      </w:pPr>
    </w:p>
    <w:p w:rsidR="001B2B39" w:rsidRPr="000122D3" w:rsidRDefault="004C6F32"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r w:rsidRPr="000122D3">
        <w:rPr>
          <w:rFonts w:ascii="Times New Roman" w:eastAsia="Times New Roman" w:hAnsi="Times New Roman"/>
          <w:b/>
          <w:sz w:val="28"/>
          <w:szCs w:val="28"/>
          <w:bdr w:val="none" w:sz="0" w:space="0" w:color="auto" w:frame="1"/>
          <w:lang w:eastAsia="uk-UA"/>
        </w:rPr>
        <w:t>4. Строк виконання заходів з</w:t>
      </w:r>
      <w:r w:rsidR="001111BC">
        <w:rPr>
          <w:rFonts w:ascii="Times New Roman" w:eastAsia="Times New Roman" w:hAnsi="Times New Roman"/>
          <w:b/>
          <w:sz w:val="28"/>
          <w:szCs w:val="28"/>
          <w:bdr w:val="none" w:sz="0" w:space="0" w:color="auto" w:frame="1"/>
          <w:lang w:eastAsia="uk-UA"/>
        </w:rPr>
        <w:t xml:space="preserve"> відстеження</w:t>
      </w:r>
    </w:p>
    <w:p w:rsidR="004C6F32" w:rsidRPr="000122D3" w:rsidRDefault="008D018F"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r w:rsidRPr="002A3DB1">
        <w:rPr>
          <w:rFonts w:ascii="Times New Roman" w:eastAsia="Times New Roman" w:hAnsi="Times New Roman"/>
          <w:sz w:val="28"/>
          <w:szCs w:val="28"/>
          <w:bdr w:val="none" w:sz="0" w:space="0" w:color="auto" w:frame="1"/>
          <w:lang w:eastAsia="uk-UA"/>
        </w:rPr>
        <w:t>З</w:t>
      </w:r>
      <w:r w:rsidR="00972310" w:rsidRPr="002A3DB1">
        <w:rPr>
          <w:rFonts w:ascii="Times New Roman" w:eastAsia="Times New Roman" w:hAnsi="Times New Roman"/>
          <w:sz w:val="28"/>
          <w:szCs w:val="28"/>
          <w:bdr w:val="none" w:sz="0" w:space="0" w:color="auto" w:frame="1"/>
          <w:lang w:eastAsia="uk-UA"/>
        </w:rPr>
        <w:t xml:space="preserve"> </w:t>
      </w:r>
      <w:r w:rsidR="001218AD">
        <w:rPr>
          <w:rFonts w:ascii="Times New Roman" w:eastAsia="Times New Roman" w:hAnsi="Times New Roman"/>
          <w:sz w:val="28"/>
          <w:szCs w:val="28"/>
          <w:bdr w:val="none" w:sz="0" w:space="0" w:color="auto" w:frame="1"/>
          <w:lang w:eastAsia="uk-UA"/>
        </w:rPr>
        <w:t>15</w:t>
      </w:r>
      <w:r w:rsidR="001E59E2" w:rsidRPr="002A3DB1">
        <w:rPr>
          <w:rFonts w:ascii="Times New Roman" w:eastAsia="Times New Roman" w:hAnsi="Times New Roman"/>
          <w:sz w:val="28"/>
          <w:szCs w:val="28"/>
          <w:bdr w:val="none" w:sz="0" w:space="0" w:color="auto" w:frame="1"/>
          <w:lang w:eastAsia="uk-UA"/>
        </w:rPr>
        <w:t>.1</w:t>
      </w:r>
      <w:r w:rsidR="001218AD">
        <w:rPr>
          <w:rFonts w:ascii="Times New Roman" w:eastAsia="Times New Roman" w:hAnsi="Times New Roman"/>
          <w:sz w:val="28"/>
          <w:szCs w:val="28"/>
          <w:bdr w:val="none" w:sz="0" w:space="0" w:color="auto" w:frame="1"/>
          <w:lang w:eastAsia="uk-UA"/>
        </w:rPr>
        <w:t>1</w:t>
      </w:r>
      <w:r w:rsidR="006530FB" w:rsidRPr="002A3DB1">
        <w:rPr>
          <w:rFonts w:ascii="Times New Roman" w:eastAsia="Times New Roman" w:hAnsi="Times New Roman"/>
          <w:sz w:val="28"/>
          <w:szCs w:val="28"/>
          <w:bdr w:val="none" w:sz="0" w:space="0" w:color="auto" w:frame="1"/>
          <w:lang w:eastAsia="uk-UA"/>
        </w:rPr>
        <w:t>.2019</w:t>
      </w:r>
      <w:r w:rsidR="00947007" w:rsidRPr="002A3DB1">
        <w:rPr>
          <w:rFonts w:ascii="Times New Roman" w:eastAsia="Times New Roman" w:hAnsi="Times New Roman"/>
          <w:sz w:val="28"/>
          <w:szCs w:val="28"/>
          <w:bdr w:val="none" w:sz="0" w:space="0" w:color="auto" w:frame="1"/>
          <w:lang w:eastAsia="uk-UA"/>
        </w:rPr>
        <w:t xml:space="preserve"> </w:t>
      </w:r>
      <w:r w:rsidR="001B2B39" w:rsidRPr="002A3DB1">
        <w:rPr>
          <w:rFonts w:ascii="Times New Roman" w:eastAsia="Times New Roman" w:hAnsi="Times New Roman"/>
          <w:sz w:val="28"/>
          <w:szCs w:val="28"/>
          <w:bdr w:val="none" w:sz="0" w:space="0" w:color="auto" w:frame="1"/>
          <w:lang w:eastAsia="uk-UA"/>
        </w:rPr>
        <w:t xml:space="preserve">по </w:t>
      </w:r>
      <w:r w:rsidR="001218AD">
        <w:rPr>
          <w:rFonts w:ascii="Times New Roman" w:eastAsia="Times New Roman" w:hAnsi="Times New Roman"/>
          <w:sz w:val="28"/>
          <w:szCs w:val="28"/>
          <w:bdr w:val="none" w:sz="0" w:space="0" w:color="auto" w:frame="1"/>
          <w:lang w:eastAsia="uk-UA"/>
        </w:rPr>
        <w:t>15.12</w:t>
      </w:r>
      <w:r w:rsidR="00947007" w:rsidRPr="002A3DB1">
        <w:rPr>
          <w:rFonts w:ascii="Times New Roman" w:eastAsia="Times New Roman" w:hAnsi="Times New Roman"/>
          <w:sz w:val="28"/>
          <w:szCs w:val="28"/>
          <w:bdr w:val="none" w:sz="0" w:space="0" w:color="auto" w:frame="1"/>
          <w:lang w:eastAsia="uk-UA"/>
        </w:rPr>
        <w:t>.</w:t>
      </w:r>
      <w:r w:rsidR="004C6F32" w:rsidRPr="002A3DB1">
        <w:rPr>
          <w:rFonts w:ascii="Times New Roman" w:eastAsia="Times New Roman" w:hAnsi="Times New Roman"/>
          <w:sz w:val="28"/>
          <w:szCs w:val="28"/>
          <w:bdr w:val="none" w:sz="0" w:space="0" w:color="auto" w:frame="1"/>
          <w:lang w:eastAsia="uk-UA"/>
        </w:rPr>
        <w:t>201</w:t>
      </w:r>
      <w:r w:rsidR="006530FB" w:rsidRPr="002A3DB1">
        <w:rPr>
          <w:rFonts w:ascii="Times New Roman" w:eastAsia="Times New Roman" w:hAnsi="Times New Roman"/>
          <w:sz w:val="28"/>
          <w:szCs w:val="28"/>
          <w:bdr w:val="none" w:sz="0" w:space="0" w:color="auto" w:frame="1"/>
          <w:lang w:eastAsia="uk-UA"/>
        </w:rPr>
        <w:t>9</w:t>
      </w:r>
      <w:r w:rsidR="001B2B39" w:rsidRPr="002A3DB1">
        <w:rPr>
          <w:rFonts w:ascii="Times New Roman" w:eastAsia="Times New Roman" w:hAnsi="Times New Roman"/>
          <w:sz w:val="28"/>
          <w:szCs w:val="28"/>
          <w:bdr w:val="none" w:sz="0" w:space="0" w:color="auto" w:frame="1"/>
          <w:lang w:eastAsia="uk-UA"/>
        </w:rPr>
        <w:t>.</w:t>
      </w:r>
    </w:p>
    <w:p w:rsidR="00307ACB" w:rsidRDefault="00307ACB"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p>
    <w:p w:rsidR="001218AD" w:rsidRPr="001F4CCF" w:rsidRDefault="001218AD"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p>
    <w:p w:rsidR="004C6F32" w:rsidRPr="000122D3" w:rsidRDefault="004C6F32"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r w:rsidRPr="000122D3">
        <w:rPr>
          <w:rFonts w:ascii="Times New Roman" w:eastAsia="Times New Roman" w:hAnsi="Times New Roman"/>
          <w:b/>
          <w:sz w:val="28"/>
          <w:szCs w:val="28"/>
          <w:bdr w:val="none" w:sz="0" w:space="0" w:color="auto" w:frame="1"/>
          <w:lang w:eastAsia="uk-UA"/>
        </w:rPr>
        <w:t xml:space="preserve">5. </w:t>
      </w:r>
      <w:r w:rsidR="001B2B39" w:rsidRPr="000122D3">
        <w:rPr>
          <w:rFonts w:ascii="Times New Roman" w:eastAsia="Times New Roman" w:hAnsi="Times New Roman"/>
          <w:b/>
          <w:sz w:val="28"/>
          <w:szCs w:val="28"/>
          <w:bdr w:val="none" w:sz="0" w:space="0" w:color="auto" w:frame="1"/>
          <w:lang w:eastAsia="uk-UA"/>
        </w:rPr>
        <w:t>Тип відстеження</w:t>
      </w:r>
      <w:r w:rsidR="001218AD">
        <w:rPr>
          <w:rFonts w:ascii="Times New Roman" w:eastAsia="Times New Roman" w:hAnsi="Times New Roman"/>
          <w:b/>
          <w:sz w:val="28"/>
          <w:szCs w:val="28"/>
          <w:bdr w:val="none" w:sz="0" w:space="0" w:color="auto" w:frame="1"/>
          <w:lang w:eastAsia="uk-UA"/>
        </w:rPr>
        <w:t>:</w:t>
      </w:r>
      <w:r w:rsidRPr="000122D3">
        <w:rPr>
          <w:rFonts w:ascii="Times New Roman" w:eastAsia="Times New Roman" w:hAnsi="Times New Roman"/>
          <w:sz w:val="28"/>
          <w:szCs w:val="28"/>
          <w:bdr w:val="none" w:sz="0" w:space="0" w:color="auto" w:frame="1"/>
          <w:lang w:eastAsia="uk-UA"/>
        </w:rPr>
        <w:t xml:space="preserve"> </w:t>
      </w:r>
      <w:r w:rsidR="00686C1D">
        <w:rPr>
          <w:rFonts w:ascii="Times New Roman" w:eastAsia="Times New Roman" w:hAnsi="Times New Roman"/>
          <w:sz w:val="28"/>
          <w:szCs w:val="28"/>
          <w:bdr w:val="none" w:sz="0" w:space="0" w:color="auto" w:frame="1"/>
          <w:lang w:eastAsia="uk-UA"/>
        </w:rPr>
        <w:t>п</w:t>
      </w:r>
      <w:r w:rsidR="0020762F">
        <w:rPr>
          <w:rFonts w:ascii="Times New Roman" w:eastAsia="Times New Roman" w:hAnsi="Times New Roman"/>
          <w:sz w:val="28"/>
          <w:szCs w:val="28"/>
          <w:bdr w:val="none" w:sz="0" w:space="0" w:color="auto" w:frame="1"/>
          <w:lang w:eastAsia="uk-UA"/>
        </w:rPr>
        <w:t>овтор</w:t>
      </w:r>
      <w:r w:rsidR="00947007" w:rsidRPr="000122D3">
        <w:rPr>
          <w:rFonts w:ascii="Times New Roman" w:eastAsia="Times New Roman" w:hAnsi="Times New Roman"/>
          <w:sz w:val="28"/>
          <w:szCs w:val="28"/>
          <w:bdr w:val="none" w:sz="0" w:space="0" w:color="auto" w:frame="1"/>
          <w:lang w:eastAsia="uk-UA"/>
        </w:rPr>
        <w:t>не</w:t>
      </w:r>
      <w:r w:rsidR="001B2B39" w:rsidRPr="000122D3">
        <w:rPr>
          <w:rFonts w:ascii="Times New Roman" w:eastAsia="Times New Roman" w:hAnsi="Times New Roman"/>
          <w:sz w:val="28"/>
          <w:szCs w:val="28"/>
          <w:bdr w:val="none" w:sz="0" w:space="0" w:color="auto" w:frame="1"/>
          <w:lang w:eastAsia="uk-UA"/>
        </w:rPr>
        <w:t>.</w:t>
      </w:r>
    </w:p>
    <w:p w:rsidR="00307ACB" w:rsidRDefault="00307ACB"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p>
    <w:p w:rsidR="001218AD" w:rsidRPr="001F4CCF" w:rsidRDefault="001218AD"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p>
    <w:p w:rsidR="004C6F32" w:rsidRPr="000122D3" w:rsidRDefault="004C6F32"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r w:rsidRPr="000122D3">
        <w:rPr>
          <w:rFonts w:ascii="Times New Roman" w:eastAsia="Times New Roman" w:hAnsi="Times New Roman"/>
          <w:b/>
          <w:sz w:val="28"/>
          <w:szCs w:val="28"/>
          <w:bdr w:val="none" w:sz="0" w:space="0" w:color="auto" w:frame="1"/>
          <w:lang w:eastAsia="uk-UA"/>
        </w:rPr>
        <w:t>6. Метод</w:t>
      </w:r>
      <w:r w:rsidR="001B2B39" w:rsidRPr="000122D3">
        <w:rPr>
          <w:rFonts w:ascii="Times New Roman" w:eastAsia="Times New Roman" w:hAnsi="Times New Roman"/>
          <w:b/>
          <w:sz w:val="28"/>
          <w:szCs w:val="28"/>
          <w:bdr w:val="none" w:sz="0" w:space="0" w:color="auto" w:frame="1"/>
          <w:lang w:eastAsia="uk-UA"/>
        </w:rPr>
        <w:t>и одержання результатів</w:t>
      </w:r>
      <w:r w:rsidR="001111BC">
        <w:rPr>
          <w:rFonts w:ascii="Times New Roman" w:eastAsia="Times New Roman" w:hAnsi="Times New Roman"/>
          <w:b/>
          <w:sz w:val="28"/>
          <w:szCs w:val="28"/>
          <w:bdr w:val="none" w:sz="0" w:space="0" w:color="auto" w:frame="1"/>
          <w:lang w:eastAsia="uk-UA"/>
        </w:rPr>
        <w:t xml:space="preserve"> </w:t>
      </w:r>
      <w:r w:rsidR="001218AD">
        <w:rPr>
          <w:rFonts w:ascii="Times New Roman" w:eastAsia="Times New Roman" w:hAnsi="Times New Roman"/>
          <w:b/>
          <w:sz w:val="28"/>
          <w:szCs w:val="28"/>
          <w:bdr w:val="none" w:sz="0" w:space="0" w:color="auto" w:frame="1"/>
          <w:lang w:eastAsia="uk-UA"/>
        </w:rPr>
        <w:t>відс</w:t>
      </w:r>
      <w:r w:rsidR="001111BC">
        <w:rPr>
          <w:rFonts w:ascii="Times New Roman" w:eastAsia="Times New Roman" w:hAnsi="Times New Roman"/>
          <w:b/>
          <w:sz w:val="28"/>
          <w:szCs w:val="28"/>
          <w:bdr w:val="none" w:sz="0" w:space="0" w:color="auto" w:frame="1"/>
          <w:lang w:eastAsia="uk-UA"/>
        </w:rPr>
        <w:t>теження</w:t>
      </w:r>
      <w:r w:rsidR="001218AD">
        <w:rPr>
          <w:rFonts w:ascii="Times New Roman" w:eastAsia="Times New Roman" w:hAnsi="Times New Roman"/>
          <w:b/>
          <w:sz w:val="28"/>
          <w:szCs w:val="28"/>
          <w:bdr w:val="none" w:sz="0" w:space="0" w:color="auto" w:frame="1"/>
          <w:lang w:eastAsia="uk-UA"/>
        </w:rPr>
        <w:t>:</w:t>
      </w:r>
      <w:r w:rsidRPr="000122D3">
        <w:rPr>
          <w:rFonts w:ascii="Times New Roman" w:eastAsia="Times New Roman" w:hAnsi="Times New Roman"/>
          <w:sz w:val="28"/>
          <w:szCs w:val="28"/>
          <w:bdr w:val="none" w:sz="0" w:space="0" w:color="auto" w:frame="1"/>
          <w:lang w:eastAsia="uk-UA"/>
        </w:rPr>
        <w:t xml:space="preserve"> </w:t>
      </w:r>
      <w:r w:rsidR="00686C1D">
        <w:rPr>
          <w:rFonts w:ascii="Times New Roman" w:eastAsia="Times New Roman" w:hAnsi="Times New Roman"/>
          <w:sz w:val="28"/>
          <w:szCs w:val="28"/>
          <w:bdr w:val="none" w:sz="0" w:space="0" w:color="auto" w:frame="1"/>
          <w:lang w:eastAsia="uk-UA"/>
        </w:rPr>
        <w:t>с</w:t>
      </w:r>
      <w:r w:rsidR="001B2B39" w:rsidRPr="000122D3">
        <w:rPr>
          <w:rFonts w:ascii="Times New Roman" w:eastAsia="Times New Roman" w:hAnsi="Times New Roman"/>
          <w:sz w:val="28"/>
          <w:szCs w:val="28"/>
          <w:bdr w:val="none" w:sz="0" w:space="0" w:color="auto" w:frame="1"/>
          <w:lang w:eastAsia="uk-UA"/>
        </w:rPr>
        <w:t>татистични</w:t>
      </w:r>
      <w:r w:rsidR="00947007" w:rsidRPr="000122D3">
        <w:rPr>
          <w:rFonts w:ascii="Times New Roman" w:eastAsia="Times New Roman" w:hAnsi="Times New Roman"/>
          <w:sz w:val="28"/>
          <w:szCs w:val="28"/>
          <w:bdr w:val="none" w:sz="0" w:space="0" w:color="auto" w:frame="1"/>
          <w:lang w:eastAsia="uk-UA"/>
        </w:rPr>
        <w:t>й</w:t>
      </w:r>
      <w:r w:rsidR="001218AD">
        <w:rPr>
          <w:rFonts w:ascii="Times New Roman" w:eastAsia="Times New Roman" w:hAnsi="Times New Roman"/>
          <w:sz w:val="28"/>
          <w:szCs w:val="28"/>
          <w:bdr w:val="none" w:sz="0" w:space="0" w:color="auto" w:frame="1"/>
          <w:lang w:eastAsia="uk-UA"/>
        </w:rPr>
        <w:t xml:space="preserve"> та соціологічний</w:t>
      </w:r>
      <w:r w:rsidR="001B2B39" w:rsidRPr="000122D3">
        <w:rPr>
          <w:rFonts w:ascii="Times New Roman" w:eastAsia="Times New Roman" w:hAnsi="Times New Roman"/>
          <w:sz w:val="28"/>
          <w:szCs w:val="28"/>
          <w:bdr w:val="none" w:sz="0" w:space="0" w:color="auto" w:frame="1"/>
          <w:lang w:eastAsia="uk-UA"/>
        </w:rPr>
        <w:t>.</w:t>
      </w:r>
    </w:p>
    <w:p w:rsidR="00307ACB" w:rsidRDefault="00307ACB"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p>
    <w:p w:rsidR="001218AD" w:rsidRPr="001F4CCF" w:rsidRDefault="001218AD" w:rsidP="004C6F32">
      <w:pPr>
        <w:spacing w:after="0" w:line="240" w:lineRule="auto"/>
        <w:ind w:firstLine="709"/>
        <w:jc w:val="both"/>
        <w:textAlignment w:val="top"/>
        <w:rPr>
          <w:rFonts w:ascii="Times New Roman" w:eastAsia="Times New Roman" w:hAnsi="Times New Roman"/>
          <w:sz w:val="28"/>
          <w:szCs w:val="28"/>
          <w:bdr w:val="none" w:sz="0" w:space="0" w:color="auto" w:frame="1"/>
          <w:lang w:eastAsia="uk-UA"/>
        </w:rPr>
      </w:pPr>
    </w:p>
    <w:p w:rsidR="00815096" w:rsidRDefault="001E59E2" w:rsidP="00686C1D">
      <w:pPr>
        <w:spacing w:after="0" w:line="240" w:lineRule="auto"/>
        <w:ind w:firstLine="709"/>
        <w:jc w:val="both"/>
        <w:textAlignment w:val="top"/>
        <w:rPr>
          <w:rFonts w:ascii="Times New Roman" w:hAnsi="Times New Roman"/>
          <w:bCs/>
          <w:sz w:val="28"/>
          <w:szCs w:val="28"/>
        </w:rPr>
      </w:pPr>
      <w:r>
        <w:rPr>
          <w:rFonts w:ascii="Times New Roman" w:eastAsia="Times New Roman" w:hAnsi="Times New Roman"/>
          <w:b/>
          <w:sz w:val="28"/>
          <w:szCs w:val="28"/>
          <w:bdr w:val="none" w:sz="0" w:space="0" w:color="auto" w:frame="1"/>
          <w:lang w:eastAsia="uk-UA"/>
        </w:rPr>
        <w:t>7.</w:t>
      </w:r>
      <w:r w:rsidRPr="001E59E2">
        <w:rPr>
          <w:rFonts w:ascii="Times New Roman" w:hAnsi="Times New Roman"/>
          <w:b/>
          <w:bCs/>
          <w:sz w:val="28"/>
          <w:szCs w:val="28"/>
        </w:rPr>
        <w:t xml:space="preserve"> Дані та припущення, на основі яких відстежувалася результативність, а також способи одержання </w:t>
      </w:r>
      <w:r w:rsidRPr="00686C1D">
        <w:rPr>
          <w:rFonts w:ascii="Times New Roman" w:hAnsi="Times New Roman"/>
          <w:b/>
          <w:bCs/>
          <w:sz w:val="28"/>
          <w:szCs w:val="28"/>
        </w:rPr>
        <w:t xml:space="preserve">даних: </w:t>
      </w:r>
      <w:r w:rsidR="00686C1D" w:rsidRPr="00686C1D">
        <w:rPr>
          <w:rFonts w:ascii="Times New Roman" w:hAnsi="Times New Roman"/>
          <w:bCs/>
          <w:sz w:val="28"/>
          <w:szCs w:val="28"/>
        </w:rPr>
        <w:t xml:space="preserve">відстеження результативності </w:t>
      </w:r>
      <w:r w:rsidR="001218AD">
        <w:rPr>
          <w:rFonts w:ascii="Times New Roman" w:hAnsi="Times New Roman"/>
          <w:bCs/>
          <w:sz w:val="28"/>
          <w:szCs w:val="28"/>
        </w:rPr>
        <w:t>РА</w:t>
      </w:r>
      <w:r w:rsidR="00686C1D" w:rsidRPr="00686C1D">
        <w:rPr>
          <w:rFonts w:ascii="Times New Roman" w:hAnsi="Times New Roman"/>
          <w:bCs/>
          <w:sz w:val="28"/>
          <w:szCs w:val="28"/>
        </w:rPr>
        <w:t xml:space="preserve"> здійснювалось шляхом аналізу </w:t>
      </w:r>
      <w:r w:rsidR="001218AD">
        <w:rPr>
          <w:rFonts w:ascii="Times New Roman" w:hAnsi="Times New Roman"/>
          <w:bCs/>
          <w:sz w:val="28"/>
          <w:szCs w:val="28"/>
        </w:rPr>
        <w:t>наяв</w:t>
      </w:r>
      <w:r w:rsidR="00686C1D" w:rsidRPr="00686C1D">
        <w:rPr>
          <w:rFonts w:ascii="Times New Roman" w:hAnsi="Times New Roman"/>
          <w:bCs/>
          <w:sz w:val="28"/>
          <w:szCs w:val="28"/>
        </w:rPr>
        <w:t xml:space="preserve">ної інформації, наданої Комунальним підприємством </w:t>
      </w:r>
      <w:r w:rsidR="00686C1D">
        <w:rPr>
          <w:rFonts w:ascii="Times New Roman" w:hAnsi="Times New Roman"/>
          <w:bCs/>
          <w:sz w:val="28"/>
          <w:szCs w:val="28"/>
        </w:rPr>
        <w:t>«</w:t>
      </w:r>
      <w:r w:rsidR="00686C1D" w:rsidRPr="00686C1D">
        <w:rPr>
          <w:rFonts w:ascii="Times New Roman" w:hAnsi="Times New Roman"/>
          <w:bCs/>
          <w:sz w:val="28"/>
          <w:szCs w:val="28"/>
        </w:rPr>
        <w:t>Благоустрій міста</w:t>
      </w:r>
      <w:r w:rsidR="00686C1D">
        <w:rPr>
          <w:rFonts w:ascii="Times New Roman" w:hAnsi="Times New Roman"/>
          <w:bCs/>
          <w:sz w:val="28"/>
          <w:szCs w:val="28"/>
        </w:rPr>
        <w:t>»</w:t>
      </w:r>
      <w:r w:rsidR="00686C1D" w:rsidRPr="00686C1D">
        <w:rPr>
          <w:rFonts w:ascii="Times New Roman" w:hAnsi="Times New Roman"/>
          <w:bCs/>
          <w:sz w:val="28"/>
          <w:szCs w:val="28"/>
        </w:rPr>
        <w:t xml:space="preserve"> Дніпровської міської ради.</w:t>
      </w:r>
    </w:p>
    <w:p w:rsidR="00686C1D" w:rsidRPr="00686C1D" w:rsidRDefault="00686C1D" w:rsidP="00686C1D">
      <w:pPr>
        <w:spacing w:after="0" w:line="240" w:lineRule="auto"/>
        <w:ind w:firstLine="709"/>
        <w:jc w:val="both"/>
        <w:textAlignment w:val="top"/>
        <w:rPr>
          <w:rFonts w:ascii="Times New Roman" w:eastAsia="Times New Roman" w:hAnsi="Times New Roman"/>
          <w:b/>
          <w:sz w:val="28"/>
          <w:szCs w:val="28"/>
          <w:bdr w:val="none" w:sz="0" w:space="0" w:color="auto" w:frame="1"/>
          <w:lang w:eastAsia="uk-UA"/>
        </w:rPr>
      </w:pPr>
    </w:p>
    <w:p w:rsidR="00EF03E3" w:rsidRDefault="004C6F32" w:rsidP="00DC2B06">
      <w:pPr>
        <w:spacing w:after="0" w:line="240" w:lineRule="auto"/>
        <w:ind w:firstLine="709"/>
        <w:jc w:val="both"/>
        <w:textAlignment w:val="top"/>
        <w:rPr>
          <w:rFonts w:ascii="Times New Roman" w:eastAsia="Times New Roman" w:hAnsi="Times New Roman"/>
          <w:b/>
          <w:sz w:val="28"/>
          <w:szCs w:val="28"/>
          <w:bdr w:val="none" w:sz="0" w:space="0" w:color="auto" w:frame="1"/>
          <w:lang w:eastAsia="uk-UA"/>
        </w:rPr>
      </w:pPr>
      <w:r w:rsidRPr="000122D3">
        <w:rPr>
          <w:rFonts w:ascii="Times New Roman" w:eastAsia="Times New Roman" w:hAnsi="Times New Roman"/>
          <w:b/>
          <w:sz w:val="28"/>
          <w:szCs w:val="28"/>
          <w:bdr w:val="none" w:sz="0" w:space="0" w:color="auto" w:frame="1"/>
          <w:lang w:eastAsia="uk-UA"/>
        </w:rPr>
        <w:lastRenderedPageBreak/>
        <w:t xml:space="preserve">8. </w:t>
      </w:r>
      <w:r w:rsidR="00B73C55" w:rsidRPr="000122D3">
        <w:rPr>
          <w:rFonts w:ascii="Times New Roman" w:eastAsia="Times New Roman" w:hAnsi="Times New Roman"/>
          <w:b/>
          <w:sz w:val="28"/>
          <w:szCs w:val="28"/>
          <w:bdr w:val="none" w:sz="0" w:space="0" w:color="auto" w:frame="1"/>
          <w:lang w:eastAsia="uk-UA"/>
        </w:rPr>
        <w:t xml:space="preserve">Кількісні </w:t>
      </w:r>
      <w:r w:rsidR="00B73C55">
        <w:rPr>
          <w:rFonts w:ascii="Times New Roman" w:eastAsia="Times New Roman" w:hAnsi="Times New Roman"/>
          <w:b/>
          <w:sz w:val="28"/>
          <w:szCs w:val="28"/>
          <w:bdr w:val="none" w:sz="0" w:space="0" w:color="auto" w:frame="1"/>
          <w:lang w:eastAsia="uk-UA"/>
        </w:rPr>
        <w:t>та якісні п</w:t>
      </w:r>
      <w:r w:rsidRPr="000122D3">
        <w:rPr>
          <w:rFonts w:ascii="Times New Roman" w:eastAsia="Times New Roman" w:hAnsi="Times New Roman"/>
          <w:b/>
          <w:sz w:val="28"/>
          <w:szCs w:val="28"/>
          <w:bdr w:val="none" w:sz="0" w:space="0" w:color="auto" w:frame="1"/>
          <w:lang w:eastAsia="uk-UA"/>
        </w:rPr>
        <w:t>оказник</w:t>
      </w:r>
      <w:r w:rsidR="00DC2B06">
        <w:rPr>
          <w:rFonts w:ascii="Times New Roman" w:eastAsia="Times New Roman" w:hAnsi="Times New Roman"/>
          <w:b/>
          <w:sz w:val="28"/>
          <w:szCs w:val="28"/>
          <w:bdr w:val="none" w:sz="0" w:space="0" w:color="auto" w:frame="1"/>
          <w:lang w:eastAsia="uk-UA"/>
        </w:rPr>
        <w:t>и</w:t>
      </w:r>
      <w:r w:rsidRPr="000122D3">
        <w:rPr>
          <w:rFonts w:ascii="Times New Roman" w:eastAsia="Times New Roman" w:hAnsi="Times New Roman"/>
          <w:b/>
          <w:sz w:val="28"/>
          <w:szCs w:val="28"/>
          <w:bdr w:val="none" w:sz="0" w:space="0" w:color="auto" w:frame="1"/>
          <w:lang w:eastAsia="uk-UA"/>
        </w:rPr>
        <w:t xml:space="preserve"> результативності </w:t>
      </w:r>
      <w:r w:rsidR="00E567EC">
        <w:rPr>
          <w:rFonts w:ascii="Times New Roman" w:eastAsia="Times New Roman" w:hAnsi="Times New Roman"/>
          <w:b/>
          <w:sz w:val="28"/>
          <w:szCs w:val="28"/>
          <w:bdr w:val="none" w:sz="0" w:space="0" w:color="auto" w:frame="1"/>
          <w:lang w:eastAsia="uk-UA"/>
        </w:rPr>
        <w:t xml:space="preserve">регуляторного </w:t>
      </w:r>
      <w:proofErr w:type="spellStart"/>
      <w:r w:rsidR="007502B5">
        <w:rPr>
          <w:rFonts w:ascii="Times New Roman" w:eastAsia="Times New Roman" w:hAnsi="Times New Roman"/>
          <w:b/>
          <w:sz w:val="28"/>
          <w:szCs w:val="28"/>
          <w:bdr w:val="none" w:sz="0" w:space="0" w:color="auto" w:frame="1"/>
          <w:lang w:eastAsia="uk-UA"/>
        </w:rPr>
        <w:t>акта</w:t>
      </w:r>
      <w:proofErr w:type="spellEnd"/>
      <w:r w:rsidR="001218AD">
        <w:rPr>
          <w:rFonts w:ascii="Times New Roman" w:eastAsia="Times New Roman" w:hAnsi="Times New Roman"/>
          <w:b/>
          <w:sz w:val="28"/>
          <w:szCs w:val="28"/>
          <w:bdr w:val="none" w:sz="0" w:space="0" w:color="auto" w:frame="1"/>
          <w:lang w:eastAsia="uk-UA"/>
        </w:rPr>
        <w:t>:</w:t>
      </w:r>
    </w:p>
    <w:p w:rsidR="002A3DB1" w:rsidRPr="00020BB4" w:rsidRDefault="002A3DB1" w:rsidP="00686C1D">
      <w:pPr>
        <w:spacing w:after="120"/>
        <w:ind w:firstLine="567"/>
        <w:jc w:val="both"/>
        <w:rPr>
          <w:rFonts w:ascii="Times New Roman" w:hAnsi="Times New Roman"/>
          <w:bCs/>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529"/>
        <w:gridCol w:w="1418"/>
        <w:gridCol w:w="45"/>
        <w:gridCol w:w="2080"/>
      </w:tblGrid>
      <w:tr w:rsidR="00686C1D" w:rsidRPr="00686C1D" w:rsidTr="00020BB4">
        <w:trPr>
          <w:trHeight w:val="469"/>
        </w:trPr>
        <w:tc>
          <w:tcPr>
            <w:tcW w:w="562" w:type="dxa"/>
            <w:vAlign w:val="center"/>
          </w:tcPr>
          <w:p w:rsidR="00686C1D" w:rsidRPr="00686C1D" w:rsidRDefault="00686C1D" w:rsidP="009020EA">
            <w:pPr>
              <w:jc w:val="center"/>
              <w:rPr>
                <w:rFonts w:ascii="Times New Roman" w:hAnsi="Times New Roman"/>
                <w:sz w:val="28"/>
                <w:szCs w:val="28"/>
              </w:rPr>
            </w:pPr>
            <w:r w:rsidRPr="00686C1D">
              <w:rPr>
                <w:rFonts w:ascii="Times New Roman" w:hAnsi="Times New Roman"/>
                <w:sz w:val="28"/>
                <w:szCs w:val="28"/>
              </w:rPr>
              <w:t>№</w:t>
            </w:r>
          </w:p>
          <w:p w:rsidR="00686C1D" w:rsidRPr="00686C1D" w:rsidRDefault="00686C1D" w:rsidP="009020EA">
            <w:pPr>
              <w:jc w:val="center"/>
              <w:rPr>
                <w:rFonts w:ascii="Times New Roman" w:hAnsi="Times New Roman"/>
                <w:sz w:val="28"/>
                <w:szCs w:val="28"/>
              </w:rPr>
            </w:pPr>
            <w:r w:rsidRPr="00686C1D">
              <w:rPr>
                <w:rFonts w:ascii="Times New Roman" w:hAnsi="Times New Roman"/>
                <w:sz w:val="28"/>
                <w:szCs w:val="28"/>
              </w:rPr>
              <w:t>з/п</w:t>
            </w:r>
          </w:p>
        </w:tc>
        <w:tc>
          <w:tcPr>
            <w:tcW w:w="5529" w:type="dxa"/>
            <w:vAlign w:val="center"/>
          </w:tcPr>
          <w:p w:rsidR="00686C1D" w:rsidRPr="00686C1D" w:rsidRDefault="00686C1D" w:rsidP="009020EA">
            <w:pPr>
              <w:jc w:val="center"/>
              <w:rPr>
                <w:rFonts w:ascii="Times New Roman" w:hAnsi="Times New Roman"/>
                <w:b/>
                <w:i/>
                <w:sz w:val="28"/>
                <w:szCs w:val="28"/>
              </w:rPr>
            </w:pPr>
            <w:r w:rsidRPr="00686C1D">
              <w:rPr>
                <w:rFonts w:ascii="Times New Roman" w:hAnsi="Times New Roman"/>
                <w:b/>
                <w:i/>
                <w:sz w:val="28"/>
                <w:szCs w:val="28"/>
              </w:rPr>
              <w:t>Показники результативності</w:t>
            </w:r>
          </w:p>
        </w:tc>
        <w:tc>
          <w:tcPr>
            <w:tcW w:w="1418" w:type="dxa"/>
            <w:vAlign w:val="center"/>
          </w:tcPr>
          <w:p w:rsidR="00686C1D" w:rsidRPr="00686C1D" w:rsidRDefault="00686C1D" w:rsidP="00292F35">
            <w:pPr>
              <w:jc w:val="center"/>
              <w:rPr>
                <w:rFonts w:ascii="Times New Roman" w:hAnsi="Times New Roman"/>
                <w:b/>
                <w:i/>
                <w:sz w:val="28"/>
                <w:szCs w:val="28"/>
              </w:rPr>
            </w:pPr>
            <w:r w:rsidRPr="00686C1D">
              <w:rPr>
                <w:rFonts w:ascii="Times New Roman" w:hAnsi="Times New Roman"/>
                <w:b/>
                <w:i/>
                <w:sz w:val="28"/>
                <w:szCs w:val="28"/>
              </w:rPr>
              <w:t>201</w:t>
            </w:r>
            <w:r w:rsidR="00292F35">
              <w:rPr>
                <w:rFonts w:ascii="Times New Roman" w:hAnsi="Times New Roman"/>
                <w:b/>
                <w:i/>
                <w:sz w:val="28"/>
                <w:szCs w:val="28"/>
              </w:rPr>
              <w:t>8</w:t>
            </w:r>
            <w:r w:rsidRPr="00686C1D">
              <w:rPr>
                <w:rFonts w:ascii="Times New Roman" w:hAnsi="Times New Roman"/>
                <w:b/>
                <w:i/>
                <w:sz w:val="28"/>
                <w:szCs w:val="28"/>
              </w:rPr>
              <w:t xml:space="preserve"> рік</w:t>
            </w:r>
          </w:p>
        </w:tc>
        <w:tc>
          <w:tcPr>
            <w:tcW w:w="2125" w:type="dxa"/>
            <w:gridSpan w:val="2"/>
            <w:vAlign w:val="center"/>
          </w:tcPr>
          <w:p w:rsidR="00686C1D" w:rsidRPr="00686C1D" w:rsidRDefault="00292F35" w:rsidP="009020EA">
            <w:pPr>
              <w:jc w:val="center"/>
              <w:rPr>
                <w:rFonts w:ascii="Times New Roman" w:hAnsi="Times New Roman"/>
                <w:b/>
                <w:i/>
                <w:sz w:val="28"/>
                <w:szCs w:val="28"/>
              </w:rPr>
            </w:pPr>
            <w:r>
              <w:rPr>
                <w:rFonts w:ascii="Times New Roman" w:hAnsi="Times New Roman"/>
                <w:b/>
                <w:i/>
                <w:sz w:val="28"/>
                <w:szCs w:val="28"/>
              </w:rPr>
              <w:t>2019</w:t>
            </w:r>
            <w:r w:rsidR="00686C1D" w:rsidRPr="00686C1D">
              <w:rPr>
                <w:rFonts w:ascii="Times New Roman" w:hAnsi="Times New Roman"/>
                <w:b/>
                <w:i/>
                <w:sz w:val="28"/>
                <w:szCs w:val="28"/>
              </w:rPr>
              <w:t xml:space="preserve"> рік</w:t>
            </w:r>
            <w:r w:rsidR="001218AD">
              <w:rPr>
                <w:rFonts w:ascii="Times New Roman" w:hAnsi="Times New Roman"/>
                <w:b/>
                <w:i/>
                <w:sz w:val="28"/>
                <w:szCs w:val="28"/>
              </w:rPr>
              <w:t xml:space="preserve"> (очікуване виконання)</w:t>
            </w:r>
          </w:p>
        </w:tc>
      </w:tr>
      <w:tr w:rsidR="00686C1D" w:rsidRPr="00686C1D" w:rsidTr="00020BB4">
        <w:trPr>
          <w:trHeight w:val="258"/>
        </w:trPr>
        <w:tc>
          <w:tcPr>
            <w:tcW w:w="562" w:type="dxa"/>
            <w:vMerge w:val="restart"/>
            <w:vAlign w:val="center"/>
          </w:tcPr>
          <w:p w:rsidR="00686C1D" w:rsidRPr="00686C1D" w:rsidRDefault="00686C1D" w:rsidP="009020EA">
            <w:pPr>
              <w:jc w:val="center"/>
              <w:rPr>
                <w:rFonts w:ascii="Times New Roman" w:hAnsi="Times New Roman"/>
                <w:sz w:val="28"/>
                <w:szCs w:val="28"/>
              </w:rPr>
            </w:pPr>
            <w:r w:rsidRPr="00686C1D">
              <w:rPr>
                <w:rFonts w:ascii="Times New Roman" w:hAnsi="Times New Roman"/>
                <w:sz w:val="28"/>
                <w:szCs w:val="28"/>
              </w:rPr>
              <w:t>1</w:t>
            </w:r>
          </w:p>
        </w:tc>
        <w:tc>
          <w:tcPr>
            <w:tcW w:w="9072" w:type="dxa"/>
            <w:gridSpan w:val="4"/>
          </w:tcPr>
          <w:p w:rsidR="00686C1D" w:rsidRPr="00686C1D" w:rsidRDefault="00686C1D" w:rsidP="001218AD">
            <w:pPr>
              <w:jc w:val="center"/>
              <w:rPr>
                <w:rFonts w:ascii="Times New Roman" w:hAnsi="Times New Roman"/>
                <w:sz w:val="28"/>
                <w:szCs w:val="28"/>
              </w:rPr>
            </w:pPr>
            <w:r w:rsidRPr="001218AD">
              <w:rPr>
                <w:rFonts w:ascii="Times New Roman" w:hAnsi="Times New Roman"/>
                <w:b/>
                <w:sz w:val="28"/>
                <w:szCs w:val="28"/>
              </w:rPr>
              <w:t>Кількісні</w:t>
            </w:r>
            <w:r w:rsidR="001218AD">
              <w:rPr>
                <w:rFonts w:ascii="Times New Roman" w:hAnsi="Times New Roman"/>
                <w:b/>
                <w:sz w:val="28"/>
                <w:szCs w:val="28"/>
              </w:rPr>
              <w:t>:</w:t>
            </w:r>
            <w:r w:rsidRPr="00686C1D">
              <w:rPr>
                <w:rFonts w:ascii="Times New Roman" w:hAnsi="Times New Roman"/>
                <w:i/>
                <w:sz w:val="28"/>
                <w:szCs w:val="28"/>
              </w:rPr>
              <w:t xml:space="preserve"> </w:t>
            </w:r>
          </w:p>
        </w:tc>
      </w:tr>
      <w:tr w:rsidR="00686C1D" w:rsidRPr="00686C1D" w:rsidTr="00020BB4">
        <w:trPr>
          <w:trHeight w:val="451"/>
        </w:trPr>
        <w:tc>
          <w:tcPr>
            <w:tcW w:w="562" w:type="dxa"/>
            <w:vMerge/>
            <w:vAlign w:val="center"/>
          </w:tcPr>
          <w:p w:rsidR="00686C1D" w:rsidRPr="00686C1D" w:rsidRDefault="00686C1D" w:rsidP="009020EA">
            <w:pPr>
              <w:jc w:val="center"/>
              <w:rPr>
                <w:rFonts w:ascii="Times New Roman" w:hAnsi="Times New Roman"/>
                <w:sz w:val="28"/>
                <w:szCs w:val="28"/>
              </w:rPr>
            </w:pPr>
          </w:p>
        </w:tc>
        <w:tc>
          <w:tcPr>
            <w:tcW w:w="5529" w:type="dxa"/>
          </w:tcPr>
          <w:p w:rsidR="00686C1D" w:rsidRPr="00686C1D" w:rsidRDefault="00686C1D" w:rsidP="001218AD">
            <w:pPr>
              <w:jc w:val="both"/>
              <w:rPr>
                <w:rFonts w:ascii="Times New Roman" w:hAnsi="Times New Roman"/>
                <w:sz w:val="28"/>
                <w:szCs w:val="28"/>
              </w:rPr>
            </w:pPr>
            <w:r w:rsidRPr="00686C1D">
              <w:rPr>
                <w:rFonts w:ascii="Times New Roman" w:hAnsi="Times New Roman"/>
                <w:sz w:val="28"/>
                <w:szCs w:val="28"/>
              </w:rPr>
              <w:t xml:space="preserve">Кількість суб'єктів господарювання, на яких розповсюджується дія </w:t>
            </w:r>
            <w:proofErr w:type="spellStart"/>
            <w:r w:rsidRPr="00686C1D">
              <w:rPr>
                <w:rFonts w:ascii="Times New Roman" w:hAnsi="Times New Roman"/>
                <w:sz w:val="28"/>
                <w:szCs w:val="28"/>
              </w:rPr>
              <w:t>акта</w:t>
            </w:r>
            <w:proofErr w:type="spellEnd"/>
            <w:r w:rsidRPr="00686C1D">
              <w:rPr>
                <w:rFonts w:ascii="Times New Roman" w:hAnsi="Times New Roman"/>
                <w:sz w:val="28"/>
                <w:szCs w:val="28"/>
              </w:rPr>
              <w:t>, о</w:t>
            </w:r>
            <w:r w:rsidR="001218AD">
              <w:rPr>
                <w:rFonts w:ascii="Times New Roman" w:hAnsi="Times New Roman"/>
                <w:sz w:val="28"/>
                <w:szCs w:val="28"/>
              </w:rPr>
              <w:t>сіб</w:t>
            </w:r>
          </w:p>
        </w:tc>
        <w:tc>
          <w:tcPr>
            <w:tcW w:w="1418" w:type="dxa"/>
            <w:vAlign w:val="center"/>
          </w:tcPr>
          <w:p w:rsidR="00686C1D" w:rsidRPr="00686C1D" w:rsidRDefault="00686C1D" w:rsidP="00292F35">
            <w:pPr>
              <w:jc w:val="center"/>
              <w:rPr>
                <w:rFonts w:ascii="Times New Roman" w:hAnsi="Times New Roman"/>
                <w:sz w:val="28"/>
                <w:szCs w:val="28"/>
              </w:rPr>
            </w:pPr>
            <w:r w:rsidRPr="00686C1D">
              <w:rPr>
                <w:rFonts w:ascii="Times New Roman" w:hAnsi="Times New Roman"/>
                <w:sz w:val="28"/>
                <w:szCs w:val="28"/>
              </w:rPr>
              <w:t>11</w:t>
            </w:r>
            <w:r w:rsidR="00292F35">
              <w:rPr>
                <w:rFonts w:ascii="Times New Roman" w:hAnsi="Times New Roman"/>
                <w:sz w:val="28"/>
                <w:szCs w:val="28"/>
              </w:rPr>
              <w:t>48</w:t>
            </w:r>
          </w:p>
        </w:tc>
        <w:tc>
          <w:tcPr>
            <w:tcW w:w="2125" w:type="dxa"/>
            <w:gridSpan w:val="2"/>
            <w:vAlign w:val="center"/>
          </w:tcPr>
          <w:p w:rsidR="00686C1D" w:rsidRPr="00686C1D" w:rsidRDefault="00105D07" w:rsidP="009020EA">
            <w:pPr>
              <w:jc w:val="center"/>
              <w:rPr>
                <w:rFonts w:ascii="Times New Roman" w:hAnsi="Times New Roman"/>
                <w:sz w:val="28"/>
                <w:szCs w:val="28"/>
              </w:rPr>
            </w:pPr>
            <w:r>
              <w:rPr>
                <w:rFonts w:ascii="Times New Roman" w:hAnsi="Times New Roman"/>
                <w:sz w:val="28"/>
                <w:szCs w:val="28"/>
              </w:rPr>
              <w:t>1052</w:t>
            </w:r>
          </w:p>
        </w:tc>
      </w:tr>
      <w:tr w:rsidR="00686C1D" w:rsidRPr="00686C1D" w:rsidTr="00020BB4">
        <w:tc>
          <w:tcPr>
            <w:tcW w:w="562" w:type="dxa"/>
            <w:vAlign w:val="center"/>
          </w:tcPr>
          <w:p w:rsidR="00686C1D" w:rsidRPr="00686C1D" w:rsidRDefault="00686C1D" w:rsidP="009020EA">
            <w:pPr>
              <w:jc w:val="center"/>
              <w:rPr>
                <w:rFonts w:ascii="Times New Roman" w:hAnsi="Times New Roman"/>
                <w:sz w:val="28"/>
                <w:szCs w:val="28"/>
              </w:rPr>
            </w:pPr>
            <w:r w:rsidRPr="00686C1D">
              <w:rPr>
                <w:rFonts w:ascii="Times New Roman" w:hAnsi="Times New Roman"/>
                <w:sz w:val="28"/>
                <w:szCs w:val="28"/>
              </w:rPr>
              <w:t>2</w:t>
            </w:r>
          </w:p>
        </w:tc>
        <w:tc>
          <w:tcPr>
            <w:tcW w:w="5529" w:type="dxa"/>
          </w:tcPr>
          <w:p w:rsidR="00686C1D" w:rsidRPr="00686C1D" w:rsidRDefault="00686C1D" w:rsidP="009020EA">
            <w:pPr>
              <w:jc w:val="both"/>
              <w:rPr>
                <w:rFonts w:ascii="Times New Roman" w:hAnsi="Times New Roman"/>
                <w:sz w:val="28"/>
                <w:szCs w:val="28"/>
              </w:rPr>
            </w:pPr>
            <w:r w:rsidRPr="00686C1D">
              <w:rPr>
                <w:rFonts w:ascii="Times New Roman" w:hAnsi="Times New Roman"/>
                <w:sz w:val="28"/>
                <w:szCs w:val="28"/>
              </w:rPr>
              <w:t>К</w:t>
            </w:r>
            <w:r w:rsidR="001218AD">
              <w:rPr>
                <w:rFonts w:ascii="Times New Roman" w:hAnsi="Times New Roman"/>
                <w:sz w:val="28"/>
                <w:szCs w:val="28"/>
              </w:rPr>
              <w:t>ількість тимчасових споруд, од.</w:t>
            </w:r>
          </w:p>
        </w:tc>
        <w:tc>
          <w:tcPr>
            <w:tcW w:w="1418" w:type="dxa"/>
            <w:vAlign w:val="center"/>
          </w:tcPr>
          <w:p w:rsidR="00686C1D" w:rsidRPr="00686C1D" w:rsidRDefault="00292F35" w:rsidP="009020EA">
            <w:pPr>
              <w:jc w:val="center"/>
              <w:rPr>
                <w:rFonts w:ascii="Times New Roman" w:hAnsi="Times New Roman"/>
                <w:sz w:val="28"/>
                <w:szCs w:val="28"/>
              </w:rPr>
            </w:pPr>
            <w:r>
              <w:rPr>
                <w:rFonts w:ascii="Times New Roman" w:hAnsi="Times New Roman"/>
                <w:sz w:val="28"/>
                <w:szCs w:val="28"/>
              </w:rPr>
              <w:t>2298</w:t>
            </w:r>
          </w:p>
        </w:tc>
        <w:tc>
          <w:tcPr>
            <w:tcW w:w="2125" w:type="dxa"/>
            <w:gridSpan w:val="2"/>
            <w:vAlign w:val="center"/>
          </w:tcPr>
          <w:p w:rsidR="00686C1D" w:rsidRPr="00686C1D" w:rsidRDefault="00292F35" w:rsidP="009020EA">
            <w:pPr>
              <w:jc w:val="center"/>
              <w:rPr>
                <w:rFonts w:ascii="Times New Roman" w:hAnsi="Times New Roman"/>
                <w:sz w:val="28"/>
                <w:szCs w:val="28"/>
              </w:rPr>
            </w:pPr>
            <w:r>
              <w:rPr>
                <w:rFonts w:ascii="Times New Roman" w:hAnsi="Times New Roman"/>
                <w:sz w:val="28"/>
                <w:szCs w:val="28"/>
              </w:rPr>
              <w:t>1723</w:t>
            </w:r>
          </w:p>
        </w:tc>
      </w:tr>
      <w:tr w:rsidR="00686C1D" w:rsidRPr="00686C1D" w:rsidTr="00020BB4">
        <w:trPr>
          <w:trHeight w:val="1412"/>
        </w:trPr>
        <w:tc>
          <w:tcPr>
            <w:tcW w:w="562" w:type="dxa"/>
            <w:vAlign w:val="center"/>
          </w:tcPr>
          <w:p w:rsidR="00686C1D" w:rsidRPr="00686C1D" w:rsidRDefault="00686C1D" w:rsidP="009020EA">
            <w:pPr>
              <w:jc w:val="center"/>
              <w:rPr>
                <w:rFonts w:ascii="Times New Roman" w:hAnsi="Times New Roman"/>
                <w:sz w:val="28"/>
                <w:szCs w:val="28"/>
              </w:rPr>
            </w:pPr>
            <w:r w:rsidRPr="00686C1D">
              <w:rPr>
                <w:rFonts w:ascii="Times New Roman" w:hAnsi="Times New Roman"/>
                <w:sz w:val="28"/>
                <w:szCs w:val="28"/>
              </w:rPr>
              <w:t>3</w:t>
            </w:r>
          </w:p>
        </w:tc>
        <w:tc>
          <w:tcPr>
            <w:tcW w:w="5529" w:type="dxa"/>
          </w:tcPr>
          <w:p w:rsidR="00686C1D" w:rsidRPr="00686C1D" w:rsidRDefault="00686C1D" w:rsidP="009020EA">
            <w:pPr>
              <w:jc w:val="both"/>
              <w:rPr>
                <w:rFonts w:ascii="Times New Roman" w:hAnsi="Times New Roman"/>
                <w:sz w:val="28"/>
                <w:szCs w:val="28"/>
              </w:rPr>
            </w:pPr>
            <w:r w:rsidRPr="00686C1D">
              <w:rPr>
                <w:rFonts w:ascii="Times New Roman" w:hAnsi="Times New Roman"/>
                <w:sz w:val="28"/>
                <w:szCs w:val="28"/>
              </w:rPr>
              <w:t xml:space="preserve">Обсяг надходжень з оплати за тимчасове </w:t>
            </w:r>
            <w:r w:rsidRPr="00686C1D">
              <w:rPr>
                <w:rFonts w:ascii="Times New Roman" w:hAnsi="Times New Roman"/>
                <w:sz w:val="28"/>
                <w:szCs w:val="28"/>
                <w:lang w:eastAsia="ar-SA"/>
              </w:rPr>
              <w:t xml:space="preserve">використання об’єктів (елементів) </w:t>
            </w:r>
            <w:proofErr w:type="spellStart"/>
            <w:r w:rsidRPr="00686C1D">
              <w:rPr>
                <w:rFonts w:ascii="Times New Roman" w:hAnsi="Times New Roman"/>
                <w:sz w:val="28"/>
                <w:szCs w:val="28"/>
                <w:lang w:eastAsia="ar-SA"/>
              </w:rPr>
              <w:t>благоуст</w:t>
            </w:r>
            <w:proofErr w:type="spellEnd"/>
            <w:r w:rsidR="001218AD">
              <w:rPr>
                <w:rFonts w:ascii="Times New Roman" w:hAnsi="Times New Roman"/>
                <w:sz w:val="28"/>
                <w:szCs w:val="28"/>
                <w:lang w:eastAsia="ar-SA"/>
              </w:rPr>
              <w:t>-</w:t>
            </w:r>
            <w:r w:rsidRPr="00686C1D">
              <w:rPr>
                <w:rFonts w:ascii="Times New Roman" w:hAnsi="Times New Roman"/>
                <w:sz w:val="28"/>
                <w:szCs w:val="28"/>
                <w:lang w:eastAsia="ar-SA"/>
              </w:rPr>
              <w:t>рою не за цільовим призначенням</w:t>
            </w:r>
            <w:r w:rsidRPr="00686C1D">
              <w:rPr>
                <w:rFonts w:ascii="Times New Roman" w:hAnsi="Times New Roman"/>
                <w:sz w:val="28"/>
                <w:szCs w:val="28"/>
              </w:rPr>
              <w:t xml:space="preserve">, </w:t>
            </w:r>
            <w:r w:rsidR="001218AD">
              <w:rPr>
                <w:rFonts w:ascii="Times New Roman" w:hAnsi="Times New Roman"/>
                <w:sz w:val="28"/>
                <w:szCs w:val="28"/>
              </w:rPr>
              <w:t xml:space="preserve">               </w:t>
            </w:r>
            <w:r w:rsidRPr="00686C1D">
              <w:rPr>
                <w:rFonts w:ascii="Times New Roman" w:hAnsi="Times New Roman"/>
                <w:sz w:val="28"/>
                <w:szCs w:val="28"/>
              </w:rPr>
              <w:t>тис.</w:t>
            </w:r>
            <w:r w:rsidR="001218AD">
              <w:rPr>
                <w:rFonts w:ascii="Times New Roman" w:hAnsi="Times New Roman"/>
                <w:sz w:val="28"/>
                <w:szCs w:val="28"/>
              </w:rPr>
              <w:t xml:space="preserve"> грн.</w:t>
            </w:r>
          </w:p>
        </w:tc>
        <w:tc>
          <w:tcPr>
            <w:tcW w:w="1418" w:type="dxa"/>
            <w:vAlign w:val="center"/>
          </w:tcPr>
          <w:p w:rsidR="00686C1D" w:rsidRPr="00686C1D" w:rsidRDefault="00292F35" w:rsidP="009020EA">
            <w:pPr>
              <w:ind w:left="-107" w:right="-110"/>
              <w:jc w:val="center"/>
              <w:rPr>
                <w:rFonts w:ascii="Times New Roman" w:hAnsi="Times New Roman"/>
                <w:sz w:val="28"/>
                <w:szCs w:val="28"/>
              </w:rPr>
            </w:pPr>
            <w:r>
              <w:rPr>
                <w:rFonts w:ascii="Times New Roman" w:hAnsi="Times New Roman"/>
                <w:sz w:val="28"/>
                <w:szCs w:val="28"/>
              </w:rPr>
              <w:t>278</w:t>
            </w:r>
            <w:r w:rsidR="00686C1D" w:rsidRPr="00686C1D">
              <w:rPr>
                <w:rFonts w:ascii="Times New Roman" w:hAnsi="Times New Roman"/>
                <w:sz w:val="28"/>
                <w:szCs w:val="28"/>
              </w:rPr>
              <w:t>47,97</w:t>
            </w:r>
          </w:p>
        </w:tc>
        <w:tc>
          <w:tcPr>
            <w:tcW w:w="2125" w:type="dxa"/>
            <w:gridSpan w:val="2"/>
            <w:vAlign w:val="center"/>
          </w:tcPr>
          <w:p w:rsidR="00686C1D" w:rsidRPr="00686C1D" w:rsidRDefault="00292F35" w:rsidP="009020EA">
            <w:pPr>
              <w:ind w:left="-107" w:right="-110"/>
              <w:jc w:val="center"/>
              <w:rPr>
                <w:rFonts w:ascii="Times New Roman" w:hAnsi="Times New Roman"/>
                <w:sz w:val="28"/>
                <w:szCs w:val="28"/>
              </w:rPr>
            </w:pPr>
            <w:r>
              <w:rPr>
                <w:rFonts w:ascii="Times New Roman" w:hAnsi="Times New Roman"/>
                <w:sz w:val="28"/>
                <w:szCs w:val="28"/>
              </w:rPr>
              <w:t>33446,15</w:t>
            </w:r>
          </w:p>
        </w:tc>
      </w:tr>
      <w:tr w:rsidR="00686C1D" w:rsidRPr="00686C1D" w:rsidTr="00020BB4">
        <w:trPr>
          <w:trHeight w:val="212"/>
        </w:trPr>
        <w:tc>
          <w:tcPr>
            <w:tcW w:w="562" w:type="dxa"/>
            <w:vMerge w:val="restart"/>
            <w:vAlign w:val="center"/>
          </w:tcPr>
          <w:p w:rsidR="00686C1D" w:rsidRPr="00686C1D" w:rsidRDefault="00686C1D" w:rsidP="009020EA">
            <w:pPr>
              <w:jc w:val="center"/>
              <w:rPr>
                <w:rFonts w:ascii="Times New Roman" w:hAnsi="Times New Roman"/>
                <w:sz w:val="28"/>
                <w:szCs w:val="28"/>
              </w:rPr>
            </w:pPr>
            <w:r w:rsidRPr="00686C1D">
              <w:rPr>
                <w:rFonts w:ascii="Times New Roman" w:hAnsi="Times New Roman"/>
                <w:sz w:val="28"/>
                <w:szCs w:val="28"/>
              </w:rPr>
              <w:t>4</w:t>
            </w:r>
          </w:p>
        </w:tc>
        <w:tc>
          <w:tcPr>
            <w:tcW w:w="9072" w:type="dxa"/>
            <w:gridSpan w:val="4"/>
          </w:tcPr>
          <w:p w:rsidR="00686C1D" w:rsidRPr="001218AD" w:rsidRDefault="00686C1D" w:rsidP="009020EA">
            <w:pPr>
              <w:jc w:val="center"/>
              <w:rPr>
                <w:rFonts w:ascii="Times New Roman" w:hAnsi="Times New Roman"/>
                <w:b/>
                <w:sz w:val="28"/>
                <w:szCs w:val="28"/>
              </w:rPr>
            </w:pPr>
            <w:r w:rsidRPr="001218AD">
              <w:rPr>
                <w:rFonts w:ascii="Times New Roman" w:hAnsi="Times New Roman"/>
                <w:b/>
                <w:sz w:val="28"/>
                <w:szCs w:val="28"/>
              </w:rPr>
              <w:t>Якісні (у бальній системі)</w:t>
            </w:r>
            <w:r w:rsidR="001218AD">
              <w:rPr>
                <w:rFonts w:ascii="Times New Roman" w:hAnsi="Times New Roman"/>
                <w:b/>
                <w:sz w:val="28"/>
                <w:szCs w:val="28"/>
              </w:rPr>
              <w:t xml:space="preserve"> *</w:t>
            </w:r>
          </w:p>
        </w:tc>
      </w:tr>
      <w:tr w:rsidR="00020BB4" w:rsidRPr="00686C1D" w:rsidTr="00020BB4">
        <w:trPr>
          <w:trHeight w:val="991"/>
        </w:trPr>
        <w:tc>
          <w:tcPr>
            <w:tcW w:w="562" w:type="dxa"/>
            <w:vMerge/>
            <w:vAlign w:val="center"/>
          </w:tcPr>
          <w:p w:rsidR="00020BB4" w:rsidRPr="00686C1D" w:rsidRDefault="00020BB4" w:rsidP="00020BB4">
            <w:pPr>
              <w:jc w:val="center"/>
              <w:rPr>
                <w:rFonts w:ascii="Times New Roman" w:hAnsi="Times New Roman"/>
                <w:sz w:val="28"/>
                <w:szCs w:val="28"/>
              </w:rPr>
            </w:pPr>
          </w:p>
        </w:tc>
        <w:tc>
          <w:tcPr>
            <w:tcW w:w="5529" w:type="dxa"/>
          </w:tcPr>
          <w:p w:rsidR="00020BB4" w:rsidRPr="00686C1D" w:rsidRDefault="00020BB4" w:rsidP="00020BB4">
            <w:pPr>
              <w:jc w:val="both"/>
              <w:rPr>
                <w:rFonts w:ascii="Times New Roman" w:hAnsi="Times New Roman"/>
                <w:sz w:val="28"/>
                <w:szCs w:val="28"/>
              </w:rPr>
            </w:pPr>
            <w:r w:rsidRPr="00686C1D">
              <w:rPr>
                <w:rFonts w:ascii="Times New Roman" w:hAnsi="Times New Roman"/>
                <w:sz w:val="28"/>
                <w:szCs w:val="28"/>
              </w:rPr>
              <w:t xml:space="preserve">Рівень </w:t>
            </w:r>
            <w:r>
              <w:rPr>
                <w:rFonts w:ascii="Times New Roman" w:hAnsi="Times New Roman"/>
                <w:sz w:val="28"/>
                <w:szCs w:val="28"/>
              </w:rPr>
              <w:t>по</w:t>
            </w:r>
            <w:r w:rsidRPr="00686C1D">
              <w:rPr>
                <w:rFonts w:ascii="Times New Roman" w:hAnsi="Times New Roman"/>
                <w:sz w:val="28"/>
                <w:szCs w:val="28"/>
              </w:rPr>
              <w:t>інформованості суб’єктів господа</w:t>
            </w:r>
            <w:r>
              <w:rPr>
                <w:rFonts w:ascii="Times New Roman" w:hAnsi="Times New Roman"/>
                <w:sz w:val="28"/>
                <w:szCs w:val="28"/>
              </w:rPr>
              <w:t>-</w:t>
            </w:r>
            <w:proofErr w:type="spellStart"/>
            <w:r w:rsidRPr="00686C1D">
              <w:rPr>
                <w:rFonts w:ascii="Times New Roman" w:hAnsi="Times New Roman"/>
                <w:sz w:val="28"/>
                <w:szCs w:val="28"/>
              </w:rPr>
              <w:t>рювання</w:t>
            </w:r>
            <w:proofErr w:type="spellEnd"/>
            <w:r w:rsidRPr="00686C1D">
              <w:rPr>
                <w:rFonts w:ascii="Times New Roman" w:hAnsi="Times New Roman"/>
                <w:sz w:val="28"/>
                <w:szCs w:val="28"/>
              </w:rPr>
              <w:t xml:space="preserve"> щодо основних положень </w:t>
            </w:r>
            <w:proofErr w:type="spellStart"/>
            <w:r w:rsidRPr="00686C1D">
              <w:rPr>
                <w:rFonts w:ascii="Times New Roman" w:hAnsi="Times New Roman"/>
                <w:sz w:val="28"/>
                <w:szCs w:val="28"/>
              </w:rPr>
              <w:t>регуля</w:t>
            </w:r>
            <w:r>
              <w:rPr>
                <w:rFonts w:ascii="Times New Roman" w:hAnsi="Times New Roman"/>
                <w:sz w:val="28"/>
                <w:szCs w:val="28"/>
              </w:rPr>
              <w:t>-</w:t>
            </w:r>
            <w:r w:rsidRPr="00686C1D">
              <w:rPr>
                <w:rFonts w:ascii="Times New Roman" w:hAnsi="Times New Roman"/>
                <w:sz w:val="28"/>
                <w:szCs w:val="28"/>
              </w:rPr>
              <w:t>торного</w:t>
            </w:r>
            <w:proofErr w:type="spellEnd"/>
            <w:r w:rsidRPr="00686C1D">
              <w:rPr>
                <w:rFonts w:ascii="Times New Roman" w:hAnsi="Times New Roman"/>
                <w:sz w:val="28"/>
                <w:szCs w:val="28"/>
              </w:rPr>
              <w:t xml:space="preserve"> </w:t>
            </w:r>
            <w:proofErr w:type="spellStart"/>
            <w:r w:rsidRPr="00686C1D">
              <w:rPr>
                <w:rFonts w:ascii="Times New Roman" w:hAnsi="Times New Roman"/>
                <w:sz w:val="28"/>
                <w:szCs w:val="28"/>
              </w:rPr>
              <w:t>акта</w:t>
            </w:r>
            <w:proofErr w:type="spellEnd"/>
          </w:p>
        </w:tc>
        <w:tc>
          <w:tcPr>
            <w:tcW w:w="1463" w:type="dxa"/>
            <w:gridSpan w:val="2"/>
            <w:vAlign w:val="center"/>
          </w:tcPr>
          <w:p w:rsidR="00020BB4" w:rsidRPr="00686C1D" w:rsidRDefault="00020BB4" w:rsidP="00020BB4">
            <w:pPr>
              <w:jc w:val="center"/>
              <w:rPr>
                <w:rFonts w:ascii="Times New Roman" w:hAnsi="Times New Roman"/>
                <w:sz w:val="28"/>
                <w:szCs w:val="28"/>
              </w:rPr>
            </w:pPr>
            <w:r>
              <w:rPr>
                <w:rFonts w:ascii="Times New Roman" w:hAnsi="Times New Roman"/>
                <w:sz w:val="28"/>
                <w:szCs w:val="28"/>
              </w:rPr>
              <w:t>4</w:t>
            </w:r>
          </w:p>
        </w:tc>
        <w:tc>
          <w:tcPr>
            <w:tcW w:w="2080" w:type="dxa"/>
            <w:vAlign w:val="center"/>
          </w:tcPr>
          <w:p w:rsidR="00020BB4" w:rsidRPr="00686C1D" w:rsidRDefault="00020BB4" w:rsidP="00020BB4">
            <w:pPr>
              <w:jc w:val="center"/>
              <w:rPr>
                <w:rFonts w:ascii="Times New Roman" w:hAnsi="Times New Roman"/>
                <w:sz w:val="28"/>
                <w:szCs w:val="28"/>
              </w:rPr>
            </w:pPr>
            <w:r w:rsidRPr="00686C1D">
              <w:rPr>
                <w:rFonts w:ascii="Times New Roman" w:hAnsi="Times New Roman"/>
                <w:sz w:val="28"/>
                <w:szCs w:val="28"/>
              </w:rPr>
              <w:t>4</w:t>
            </w:r>
          </w:p>
        </w:tc>
      </w:tr>
    </w:tbl>
    <w:p w:rsidR="00686C1D" w:rsidRPr="00020BB4" w:rsidRDefault="00686C1D" w:rsidP="00686C1D">
      <w:pPr>
        <w:pStyle w:val="a8"/>
        <w:shd w:val="clear" w:color="auto" w:fill="FFFFFF"/>
        <w:spacing w:before="0" w:beforeAutospacing="0" w:after="120" w:afterAutospacing="0"/>
        <w:ind w:firstLine="567"/>
        <w:jc w:val="both"/>
        <w:rPr>
          <w:color w:val="000000"/>
          <w:sz w:val="20"/>
          <w:szCs w:val="20"/>
          <w:lang w:val="uk-UA"/>
        </w:rPr>
      </w:pPr>
      <w:r w:rsidRPr="00020BB4">
        <w:rPr>
          <w:color w:val="000000"/>
          <w:sz w:val="20"/>
          <w:szCs w:val="20"/>
          <w:lang w:val="uk-UA"/>
        </w:rPr>
        <w:t>*Примітка – оцінка здійснена за 4-бальною системою, з яких 4 – досягнуто у високій мірі результат якісного показника, 3 – досягнуто більш, ніж на 50% результат якісного показника, 2 – досягнуто менше, ніж на 50% результат якісного показника, 1 – практично не досягнуто.</w:t>
      </w:r>
    </w:p>
    <w:p w:rsidR="00020BB4" w:rsidRPr="008B0B54" w:rsidRDefault="00020BB4" w:rsidP="00020BB4">
      <w:pPr>
        <w:spacing w:after="0" w:line="240" w:lineRule="auto"/>
        <w:ind w:right="-28" w:firstLine="709"/>
        <w:jc w:val="both"/>
        <w:rPr>
          <w:rFonts w:ascii="Times New Roman" w:hAnsi="Times New Roman"/>
          <w:b/>
          <w:sz w:val="28"/>
          <w:szCs w:val="28"/>
        </w:rPr>
      </w:pPr>
      <w:r w:rsidRPr="008B0B54">
        <w:rPr>
          <w:rFonts w:ascii="Times New Roman" w:hAnsi="Times New Roman"/>
          <w:sz w:val="28"/>
          <w:szCs w:val="28"/>
        </w:rPr>
        <w:t>Підвищення рівня поінформованості громадян та суб’єктів господа-</w:t>
      </w:r>
      <w:proofErr w:type="spellStart"/>
      <w:r w:rsidRPr="008B0B54">
        <w:rPr>
          <w:rFonts w:ascii="Times New Roman" w:hAnsi="Times New Roman"/>
          <w:sz w:val="28"/>
          <w:szCs w:val="28"/>
        </w:rPr>
        <w:t>рювання</w:t>
      </w:r>
      <w:proofErr w:type="spellEnd"/>
      <w:r w:rsidRPr="008B0B54">
        <w:rPr>
          <w:rFonts w:ascii="Times New Roman" w:hAnsi="Times New Roman"/>
          <w:sz w:val="28"/>
          <w:szCs w:val="28"/>
        </w:rPr>
        <w:t xml:space="preserve"> щодо основних положень </w:t>
      </w:r>
      <w:r>
        <w:rPr>
          <w:rFonts w:ascii="Times New Roman" w:hAnsi="Times New Roman"/>
          <w:sz w:val="28"/>
          <w:szCs w:val="28"/>
        </w:rPr>
        <w:t>РА</w:t>
      </w:r>
      <w:r w:rsidRPr="008B0B54">
        <w:rPr>
          <w:rFonts w:ascii="Times New Roman" w:hAnsi="Times New Roman"/>
          <w:sz w:val="28"/>
          <w:szCs w:val="28"/>
        </w:rPr>
        <w:t xml:space="preserve"> досягнуто шляхом </w:t>
      </w:r>
      <w:r>
        <w:rPr>
          <w:rFonts w:ascii="Times New Roman" w:hAnsi="Times New Roman"/>
          <w:sz w:val="28"/>
          <w:szCs w:val="28"/>
        </w:rPr>
        <w:t xml:space="preserve">його </w:t>
      </w:r>
      <w:r w:rsidRPr="008B0B54">
        <w:rPr>
          <w:rFonts w:ascii="Times New Roman" w:hAnsi="Times New Roman"/>
          <w:sz w:val="28"/>
          <w:szCs w:val="28"/>
        </w:rPr>
        <w:t xml:space="preserve">оприлюднення на офіційному </w:t>
      </w:r>
      <w:proofErr w:type="spellStart"/>
      <w:r w:rsidRPr="008B0B54">
        <w:rPr>
          <w:rFonts w:ascii="Times New Roman" w:hAnsi="Times New Roman"/>
          <w:sz w:val="28"/>
          <w:szCs w:val="28"/>
        </w:rPr>
        <w:t>вебсайті</w:t>
      </w:r>
      <w:proofErr w:type="spellEnd"/>
      <w:r w:rsidRPr="008B0B54">
        <w:rPr>
          <w:rFonts w:ascii="Times New Roman" w:hAnsi="Times New Roman"/>
          <w:sz w:val="28"/>
          <w:szCs w:val="28"/>
        </w:rPr>
        <w:t xml:space="preserve"> Дніпровської міської ради </w:t>
      </w:r>
      <w:r>
        <w:rPr>
          <w:rFonts w:ascii="Times New Roman" w:hAnsi="Times New Roman"/>
          <w:sz w:val="28"/>
          <w:szCs w:val="28"/>
        </w:rPr>
        <w:t>у</w:t>
      </w:r>
      <w:r w:rsidRPr="008B0B54">
        <w:rPr>
          <w:rFonts w:ascii="Times New Roman" w:hAnsi="Times New Roman"/>
          <w:sz w:val="28"/>
          <w:szCs w:val="28"/>
        </w:rPr>
        <w:t xml:space="preserve"> меню «Регуляторна політика» та у газеті «Наше місто».</w:t>
      </w:r>
    </w:p>
    <w:p w:rsidR="00020BB4" w:rsidRPr="00020BB4" w:rsidRDefault="00020BB4" w:rsidP="00686C1D">
      <w:pPr>
        <w:pStyle w:val="a8"/>
        <w:shd w:val="clear" w:color="auto" w:fill="FFFFFF"/>
        <w:spacing w:before="0" w:beforeAutospacing="0" w:after="120" w:afterAutospacing="0"/>
        <w:ind w:firstLine="567"/>
        <w:jc w:val="both"/>
        <w:rPr>
          <w:color w:val="000000"/>
          <w:sz w:val="16"/>
          <w:szCs w:val="16"/>
          <w:lang w:val="uk-UA"/>
        </w:rPr>
      </w:pPr>
    </w:p>
    <w:p w:rsidR="00F10728" w:rsidRDefault="003E4850" w:rsidP="00616757">
      <w:pPr>
        <w:spacing w:after="0" w:line="240" w:lineRule="auto"/>
        <w:ind w:firstLine="709"/>
        <w:jc w:val="both"/>
        <w:rPr>
          <w:rFonts w:ascii="Times New Roman" w:hAnsi="Times New Roman"/>
          <w:b/>
          <w:sz w:val="28"/>
          <w:szCs w:val="28"/>
        </w:rPr>
      </w:pPr>
      <w:r w:rsidRPr="000122D3">
        <w:rPr>
          <w:rFonts w:ascii="Times New Roman" w:hAnsi="Times New Roman"/>
          <w:b/>
          <w:sz w:val="28"/>
          <w:szCs w:val="28"/>
        </w:rPr>
        <w:t xml:space="preserve">9. </w:t>
      </w:r>
      <w:r w:rsidR="00F10728" w:rsidRPr="000122D3">
        <w:rPr>
          <w:rFonts w:ascii="Times New Roman" w:hAnsi="Times New Roman"/>
          <w:b/>
          <w:sz w:val="28"/>
          <w:szCs w:val="28"/>
        </w:rPr>
        <w:t>Оцінка результатів реалізації регуляторного акта та ступ</w:t>
      </w:r>
      <w:r w:rsidR="00652CE1">
        <w:rPr>
          <w:rFonts w:ascii="Times New Roman" w:hAnsi="Times New Roman"/>
          <w:b/>
          <w:sz w:val="28"/>
          <w:szCs w:val="28"/>
        </w:rPr>
        <w:t>еня досягнення визначених цілей</w:t>
      </w:r>
    </w:p>
    <w:p w:rsidR="001923BC" w:rsidRDefault="00EF03E3" w:rsidP="008D311B">
      <w:pPr>
        <w:spacing w:after="0" w:line="240" w:lineRule="auto"/>
        <w:ind w:firstLine="709"/>
        <w:jc w:val="both"/>
        <w:textAlignment w:val="top"/>
        <w:rPr>
          <w:rFonts w:ascii="Times New Roman" w:hAnsi="Times New Roman"/>
          <w:sz w:val="28"/>
          <w:szCs w:val="28"/>
        </w:rPr>
      </w:pPr>
      <w:r w:rsidRPr="00B450D5">
        <w:rPr>
          <w:rFonts w:ascii="Times New Roman" w:hAnsi="Times New Roman"/>
          <w:bCs/>
          <w:sz w:val="28"/>
          <w:szCs w:val="28"/>
        </w:rPr>
        <w:t>У</w:t>
      </w:r>
      <w:r w:rsidR="001524EA" w:rsidRPr="00B450D5">
        <w:rPr>
          <w:rFonts w:ascii="Times New Roman" w:hAnsi="Times New Roman"/>
          <w:bCs/>
          <w:sz w:val="28"/>
          <w:szCs w:val="28"/>
        </w:rPr>
        <w:t xml:space="preserve"> результаті в</w:t>
      </w:r>
      <w:r w:rsidR="0099623D" w:rsidRPr="00B450D5">
        <w:rPr>
          <w:rFonts w:ascii="Times New Roman" w:hAnsi="Times New Roman"/>
          <w:bCs/>
          <w:sz w:val="28"/>
          <w:szCs w:val="28"/>
        </w:rPr>
        <w:t xml:space="preserve">провадження регуляторного </w:t>
      </w:r>
      <w:proofErr w:type="spellStart"/>
      <w:r w:rsidR="0099623D" w:rsidRPr="00B450D5">
        <w:rPr>
          <w:rFonts w:ascii="Times New Roman" w:hAnsi="Times New Roman"/>
          <w:bCs/>
          <w:sz w:val="28"/>
          <w:szCs w:val="28"/>
        </w:rPr>
        <w:t>акта</w:t>
      </w:r>
      <w:proofErr w:type="spellEnd"/>
      <w:r w:rsidR="0099623D" w:rsidRPr="00B450D5">
        <w:rPr>
          <w:rFonts w:ascii="Times New Roman" w:hAnsi="Times New Roman"/>
          <w:bCs/>
          <w:sz w:val="28"/>
          <w:szCs w:val="28"/>
        </w:rPr>
        <w:t xml:space="preserve"> </w:t>
      </w:r>
      <w:r w:rsidR="001524EA" w:rsidRPr="00BA5853">
        <w:rPr>
          <w:rFonts w:ascii="Times New Roman" w:eastAsia="Times New Roman" w:hAnsi="Times New Roman"/>
          <w:sz w:val="28"/>
          <w:szCs w:val="28"/>
          <w:bdr w:val="none" w:sz="0" w:space="0" w:color="auto" w:frame="1"/>
          <w:lang w:eastAsia="uk-UA"/>
        </w:rPr>
        <w:t xml:space="preserve">забезпечено </w:t>
      </w:r>
      <w:r w:rsidR="00D063A5">
        <w:rPr>
          <w:rFonts w:ascii="Times New Roman" w:hAnsi="Times New Roman"/>
          <w:sz w:val="28"/>
          <w:szCs w:val="28"/>
        </w:rPr>
        <w:t>досягнення основної мети</w:t>
      </w:r>
      <w:r w:rsidR="00FC5CB4">
        <w:rPr>
          <w:rFonts w:ascii="Times New Roman" w:hAnsi="Times New Roman"/>
          <w:sz w:val="28"/>
          <w:szCs w:val="28"/>
        </w:rPr>
        <w:t xml:space="preserve"> </w:t>
      </w:r>
      <w:r w:rsidR="00FC5CB4" w:rsidRPr="00FC5CB4">
        <w:rPr>
          <w:rFonts w:ascii="Times New Roman" w:hAnsi="Times New Roman"/>
          <w:i/>
          <w:sz w:val="28"/>
          <w:szCs w:val="28"/>
        </w:rPr>
        <w:t>–</w:t>
      </w:r>
      <w:r w:rsidR="001923BC">
        <w:rPr>
          <w:rFonts w:ascii="Times New Roman" w:hAnsi="Times New Roman"/>
          <w:color w:val="000000"/>
          <w:sz w:val="28"/>
          <w:szCs w:val="28"/>
        </w:rPr>
        <w:t xml:space="preserve"> </w:t>
      </w:r>
      <w:r w:rsidR="001923BC">
        <w:rPr>
          <w:rFonts w:ascii="Times New Roman" w:hAnsi="Times New Roman"/>
          <w:bCs/>
          <w:iCs/>
          <w:spacing w:val="-4"/>
          <w:sz w:val="28"/>
          <w:szCs w:val="28"/>
        </w:rPr>
        <w:t xml:space="preserve">встановлення </w:t>
      </w:r>
      <w:r w:rsidR="001923BC">
        <w:rPr>
          <w:rFonts w:ascii="Times New Roman" w:hAnsi="Times New Roman"/>
          <w:sz w:val="28"/>
          <w:szCs w:val="28"/>
        </w:rPr>
        <w:t>зонального розподілення території міста (історичний центр міста, червоні лінії вулиць, інші території) та застосування диференційованого підходу щодо визначення розміру оплати за тимчасове використання об'єктів (елементів) благоустрою м. Дніпра не за функціональним призначенням для здійснення господарської діяльності у сфері споживчого ринку та послуг, що перебувають у комунальній власності, оплати за зберігання тимчасових споруд у випадку їх зберігання КП «Благоустрій міста» у разі здійснення примусового демонтажу.</w:t>
      </w:r>
    </w:p>
    <w:p w:rsidR="00FC5CB4" w:rsidRDefault="00FC5CB4" w:rsidP="00863E92">
      <w:pPr>
        <w:tabs>
          <w:tab w:val="left" w:pos="1140"/>
        </w:tabs>
        <w:spacing w:after="0" w:line="240" w:lineRule="auto"/>
        <w:rPr>
          <w:rFonts w:ascii="Times New Roman" w:eastAsia="Times New Roman" w:hAnsi="Times New Roman"/>
          <w:sz w:val="28"/>
          <w:szCs w:val="28"/>
          <w:lang w:eastAsia="ru-RU"/>
        </w:rPr>
      </w:pPr>
    </w:p>
    <w:p w:rsidR="00947007" w:rsidRDefault="00A70843" w:rsidP="00863E92">
      <w:pPr>
        <w:tabs>
          <w:tab w:val="left" w:pos="1140"/>
        </w:tabs>
        <w:spacing w:after="0" w:line="240" w:lineRule="auto"/>
        <w:rPr>
          <w:rFonts w:ascii="Times New Roman" w:eastAsia="Times New Roman" w:hAnsi="Times New Roman"/>
          <w:sz w:val="28"/>
          <w:szCs w:val="28"/>
          <w:lang w:eastAsia="ru-RU"/>
        </w:rPr>
      </w:pPr>
      <w:r w:rsidRPr="000122D3">
        <w:rPr>
          <w:rFonts w:ascii="Times New Roman" w:eastAsia="Times New Roman" w:hAnsi="Times New Roman"/>
          <w:sz w:val="28"/>
          <w:szCs w:val="28"/>
          <w:lang w:eastAsia="ru-RU"/>
        </w:rPr>
        <w:t>Міський голова</w:t>
      </w:r>
      <w:r w:rsidR="00261296">
        <w:rPr>
          <w:rFonts w:ascii="Times New Roman" w:eastAsia="Times New Roman" w:hAnsi="Times New Roman"/>
          <w:sz w:val="28"/>
          <w:szCs w:val="28"/>
          <w:lang w:eastAsia="ru-RU"/>
        </w:rPr>
        <w:tab/>
      </w:r>
      <w:r w:rsidR="00261296">
        <w:rPr>
          <w:rFonts w:ascii="Times New Roman" w:eastAsia="Times New Roman" w:hAnsi="Times New Roman"/>
          <w:sz w:val="28"/>
          <w:szCs w:val="28"/>
          <w:lang w:eastAsia="ru-RU"/>
        </w:rPr>
        <w:tab/>
      </w:r>
      <w:r w:rsidR="00261296">
        <w:rPr>
          <w:rFonts w:ascii="Times New Roman" w:eastAsia="Times New Roman" w:hAnsi="Times New Roman"/>
          <w:sz w:val="28"/>
          <w:szCs w:val="28"/>
          <w:lang w:eastAsia="ru-RU"/>
        </w:rPr>
        <w:tab/>
      </w:r>
      <w:r w:rsidR="00261296">
        <w:rPr>
          <w:rFonts w:ascii="Times New Roman" w:eastAsia="Times New Roman" w:hAnsi="Times New Roman"/>
          <w:sz w:val="28"/>
          <w:szCs w:val="28"/>
          <w:lang w:eastAsia="ru-RU"/>
        </w:rPr>
        <w:tab/>
      </w:r>
      <w:r w:rsidR="00261296">
        <w:rPr>
          <w:rFonts w:ascii="Times New Roman" w:eastAsia="Times New Roman" w:hAnsi="Times New Roman"/>
          <w:sz w:val="28"/>
          <w:szCs w:val="28"/>
          <w:lang w:eastAsia="ru-RU"/>
        </w:rPr>
        <w:tab/>
      </w:r>
      <w:r w:rsidR="00261296">
        <w:rPr>
          <w:rFonts w:ascii="Times New Roman" w:eastAsia="Times New Roman" w:hAnsi="Times New Roman"/>
          <w:sz w:val="28"/>
          <w:szCs w:val="28"/>
          <w:lang w:eastAsia="ru-RU"/>
        </w:rPr>
        <w:tab/>
      </w:r>
      <w:r w:rsidR="00261296">
        <w:rPr>
          <w:rFonts w:ascii="Times New Roman" w:eastAsia="Times New Roman" w:hAnsi="Times New Roman"/>
          <w:sz w:val="28"/>
          <w:szCs w:val="28"/>
          <w:lang w:eastAsia="ru-RU"/>
        </w:rPr>
        <w:tab/>
      </w:r>
      <w:r w:rsidR="00261296">
        <w:rPr>
          <w:rFonts w:ascii="Times New Roman" w:eastAsia="Times New Roman" w:hAnsi="Times New Roman"/>
          <w:sz w:val="28"/>
          <w:szCs w:val="28"/>
          <w:lang w:eastAsia="ru-RU"/>
        </w:rPr>
        <w:tab/>
      </w:r>
      <w:r w:rsidR="00261296">
        <w:rPr>
          <w:rFonts w:ascii="Times New Roman" w:eastAsia="Times New Roman" w:hAnsi="Times New Roman"/>
          <w:sz w:val="28"/>
          <w:szCs w:val="28"/>
          <w:lang w:eastAsia="ru-RU"/>
        </w:rPr>
        <w:tab/>
      </w:r>
      <w:r w:rsidR="001F4CCF">
        <w:rPr>
          <w:rFonts w:ascii="Times New Roman" w:eastAsia="Times New Roman" w:hAnsi="Times New Roman"/>
          <w:sz w:val="28"/>
          <w:szCs w:val="28"/>
          <w:lang w:eastAsia="ru-RU"/>
        </w:rPr>
        <w:t xml:space="preserve">     </w:t>
      </w:r>
      <w:r w:rsidRPr="000122D3">
        <w:rPr>
          <w:rFonts w:ascii="Times New Roman" w:eastAsia="Times New Roman" w:hAnsi="Times New Roman"/>
          <w:sz w:val="28"/>
          <w:szCs w:val="28"/>
          <w:lang w:eastAsia="ru-RU"/>
        </w:rPr>
        <w:t>Б. А. Філатов</w:t>
      </w:r>
    </w:p>
    <w:p w:rsidR="00815096" w:rsidRDefault="00815096" w:rsidP="00863E92">
      <w:pPr>
        <w:tabs>
          <w:tab w:val="left" w:pos="1140"/>
        </w:tabs>
        <w:spacing w:after="0" w:line="240" w:lineRule="auto"/>
        <w:rPr>
          <w:rFonts w:ascii="Times New Roman" w:eastAsia="Times New Roman" w:hAnsi="Times New Roman"/>
          <w:sz w:val="20"/>
          <w:szCs w:val="20"/>
          <w:lang w:eastAsia="ru-RU"/>
        </w:rPr>
      </w:pPr>
    </w:p>
    <w:p w:rsidR="00815096" w:rsidRDefault="00815096" w:rsidP="00863E92">
      <w:pPr>
        <w:tabs>
          <w:tab w:val="left" w:pos="1140"/>
        </w:tabs>
        <w:spacing w:after="0" w:line="240" w:lineRule="auto"/>
        <w:rPr>
          <w:rFonts w:ascii="Times New Roman" w:eastAsia="Times New Roman" w:hAnsi="Times New Roman"/>
          <w:sz w:val="20"/>
          <w:szCs w:val="20"/>
          <w:lang w:eastAsia="ru-RU"/>
        </w:rPr>
      </w:pPr>
    </w:p>
    <w:p w:rsidR="002A3DB1" w:rsidRDefault="002A3DB1" w:rsidP="00863E92">
      <w:pPr>
        <w:tabs>
          <w:tab w:val="left" w:pos="1140"/>
        </w:tabs>
        <w:spacing w:after="0" w:line="240" w:lineRule="auto"/>
        <w:rPr>
          <w:rFonts w:ascii="Times New Roman" w:eastAsia="Times New Roman" w:hAnsi="Times New Roman"/>
          <w:sz w:val="20"/>
          <w:szCs w:val="20"/>
          <w:lang w:eastAsia="ru-RU"/>
        </w:rPr>
      </w:pPr>
    </w:p>
    <w:p w:rsidR="00D04858" w:rsidRPr="00D04858" w:rsidRDefault="00AF5FF4" w:rsidP="00863E92">
      <w:pPr>
        <w:tabs>
          <w:tab w:val="left" w:pos="114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Мороз Руслан Валентинович</w:t>
      </w:r>
      <w:r w:rsidR="00D04858" w:rsidRPr="00D0485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756-98-86</w:t>
      </w:r>
    </w:p>
    <w:sectPr w:rsidR="00D04858" w:rsidRPr="00D04858" w:rsidSect="002A3DB1">
      <w:pgSz w:w="11906" w:h="16838"/>
      <w:pgMar w:top="851" w:right="73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0CBA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B43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3C8D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A0A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D8C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1A8B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45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D2C2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862C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229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941DCE"/>
    <w:multiLevelType w:val="hybridMultilevel"/>
    <w:tmpl w:val="BC709E3A"/>
    <w:lvl w:ilvl="0" w:tplc="4AB216EC">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3AB43E2B"/>
    <w:multiLevelType w:val="hybridMultilevel"/>
    <w:tmpl w:val="7340FA46"/>
    <w:lvl w:ilvl="0" w:tplc="BA20CEC8">
      <w:numFmt w:val="bullet"/>
      <w:lvlText w:val="-"/>
      <w:lvlJc w:val="left"/>
      <w:pPr>
        <w:tabs>
          <w:tab w:val="num" w:pos="1359"/>
        </w:tabs>
        <w:ind w:left="1359" w:hanging="819"/>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64310A99"/>
    <w:multiLevelType w:val="hybridMultilevel"/>
    <w:tmpl w:val="5270FC4E"/>
    <w:lvl w:ilvl="0" w:tplc="A9DCF2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0D"/>
    <w:rsid w:val="000122D3"/>
    <w:rsid w:val="00020BB4"/>
    <w:rsid w:val="00045A4C"/>
    <w:rsid w:val="00050E9F"/>
    <w:rsid w:val="00053F9B"/>
    <w:rsid w:val="00067443"/>
    <w:rsid w:val="00085179"/>
    <w:rsid w:val="000A243C"/>
    <w:rsid w:val="000A686A"/>
    <w:rsid w:val="00105D07"/>
    <w:rsid w:val="001111BC"/>
    <w:rsid w:val="001218AD"/>
    <w:rsid w:val="00127419"/>
    <w:rsid w:val="001524EA"/>
    <w:rsid w:val="00164FE3"/>
    <w:rsid w:val="001724FD"/>
    <w:rsid w:val="001923BC"/>
    <w:rsid w:val="001A4C51"/>
    <w:rsid w:val="001B2B39"/>
    <w:rsid w:val="001E59E2"/>
    <w:rsid w:val="001F333A"/>
    <w:rsid w:val="001F4CCF"/>
    <w:rsid w:val="00203E7F"/>
    <w:rsid w:val="0020762F"/>
    <w:rsid w:val="002245F7"/>
    <w:rsid w:val="00230ECD"/>
    <w:rsid w:val="00232572"/>
    <w:rsid w:val="002440BB"/>
    <w:rsid w:val="00261296"/>
    <w:rsid w:val="0026339C"/>
    <w:rsid w:val="0026398B"/>
    <w:rsid w:val="00291C7E"/>
    <w:rsid w:val="00292F16"/>
    <w:rsid w:val="00292F35"/>
    <w:rsid w:val="002A2A65"/>
    <w:rsid w:val="002A3DB1"/>
    <w:rsid w:val="002A4014"/>
    <w:rsid w:val="002B1B48"/>
    <w:rsid w:val="00307ACB"/>
    <w:rsid w:val="00311C65"/>
    <w:rsid w:val="003460FE"/>
    <w:rsid w:val="003465ED"/>
    <w:rsid w:val="003561ED"/>
    <w:rsid w:val="00387D1E"/>
    <w:rsid w:val="003E4850"/>
    <w:rsid w:val="003E4895"/>
    <w:rsid w:val="004164BB"/>
    <w:rsid w:val="00440F58"/>
    <w:rsid w:val="004673EE"/>
    <w:rsid w:val="00477A9E"/>
    <w:rsid w:val="004C6F32"/>
    <w:rsid w:val="004D3B5E"/>
    <w:rsid w:val="004D55C0"/>
    <w:rsid w:val="004D753F"/>
    <w:rsid w:val="00511B79"/>
    <w:rsid w:val="0053027C"/>
    <w:rsid w:val="005464F9"/>
    <w:rsid w:val="00573558"/>
    <w:rsid w:val="00583EBA"/>
    <w:rsid w:val="00592014"/>
    <w:rsid w:val="005B5D2F"/>
    <w:rsid w:val="005D3092"/>
    <w:rsid w:val="005E1CF3"/>
    <w:rsid w:val="005E42CF"/>
    <w:rsid w:val="00610E9A"/>
    <w:rsid w:val="00616757"/>
    <w:rsid w:val="00622904"/>
    <w:rsid w:val="00652CE1"/>
    <w:rsid w:val="006530FB"/>
    <w:rsid w:val="0066760D"/>
    <w:rsid w:val="006745FD"/>
    <w:rsid w:val="00680954"/>
    <w:rsid w:val="00686C1D"/>
    <w:rsid w:val="00693BA8"/>
    <w:rsid w:val="00696D4C"/>
    <w:rsid w:val="006A6954"/>
    <w:rsid w:val="006A7780"/>
    <w:rsid w:val="006B0491"/>
    <w:rsid w:val="00705F46"/>
    <w:rsid w:val="00711571"/>
    <w:rsid w:val="007502B5"/>
    <w:rsid w:val="007F01A3"/>
    <w:rsid w:val="007F7481"/>
    <w:rsid w:val="00815096"/>
    <w:rsid w:val="00821DBC"/>
    <w:rsid w:val="00863E92"/>
    <w:rsid w:val="008D018F"/>
    <w:rsid w:val="008D311B"/>
    <w:rsid w:val="008D715E"/>
    <w:rsid w:val="009020EA"/>
    <w:rsid w:val="0093484B"/>
    <w:rsid w:val="00943E2F"/>
    <w:rsid w:val="00947007"/>
    <w:rsid w:val="00972310"/>
    <w:rsid w:val="00985D68"/>
    <w:rsid w:val="00986A08"/>
    <w:rsid w:val="0099623D"/>
    <w:rsid w:val="00997622"/>
    <w:rsid w:val="009C2737"/>
    <w:rsid w:val="00A5219A"/>
    <w:rsid w:val="00A6518E"/>
    <w:rsid w:val="00A70843"/>
    <w:rsid w:val="00A875D9"/>
    <w:rsid w:val="00AB5F19"/>
    <w:rsid w:val="00AC07E7"/>
    <w:rsid w:val="00AC7A39"/>
    <w:rsid w:val="00AF021B"/>
    <w:rsid w:val="00AF5FF4"/>
    <w:rsid w:val="00AF6846"/>
    <w:rsid w:val="00B022AA"/>
    <w:rsid w:val="00B10490"/>
    <w:rsid w:val="00B204F7"/>
    <w:rsid w:val="00B450D5"/>
    <w:rsid w:val="00B4705B"/>
    <w:rsid w:val="00B73C55"/>
    <w:rsid w:val="00BA2AA1"/>
    <w:rsid w:val="00BA5853"/>
    <w:rsid w:val="00BD7E6A"/>
    <w:rsid w:val="00BE0F26"/>
    <w:rsid w:val="00BF140E"/>
    <w:rsid w:val="00C07442"/>
    <w:rsid w:val="00C307D1"/>
    <w:rsid w:val="00C353E8"/>
    <w:rsid w:val="00CB33AD"/>
    <w:rsid w:val="00D04858"/>
    <w:rsid w:val="00D063A5"/>
    <w:rsid w:val="00D13B19"/>
    <w:rsid w:val="00D20751"/>
    <w:rsid w:val="00D260EF"/>
    <w:rsid w:val="00D65A03"/>
    <w:rsid w:val="00DA202F"/>
    <w:rsid w:val="00DB4605"/>
    <w:rsid w:val="00DC2B06"/>
    <w:rsid w:val="00E239B1"/>
    <w:rsid w:val="00E36154"/>
    <w:rsid w:val="00E567EC"/>
    <w:rsid w:val="00E97B39"/>
    <w:rsid w:val="00EB3DAF"/>
    <w:rsid w:val="00EC51E9"/>
    <w:rsid w:val="00EE294E"/>
    <w:rsid w:val="00EF03E3"/>
    <w:rsid w:val="00EF31D6"/>
    <w:rsid w:val="00F04072"/>
    <w:rsid w:val="00F0486D"/>
    <w:rsid w:val="00F10728"/>
    <w:rsid w:val="00F21C4A"/>
    <w:rsid w:val="00F33189"/>
    <w:rsid w:val="00F968F1"/>
    <w:rsid w:val="00F973F7"/>
    <w:rsid w:val="00FA72DA"/>
    <w:rsid w:val="00FC5C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36B1"/>
  <w15:chartTrackingRefBased/>
  <w15:docId w15:val="{06605297-6F2D-4CF8-8CA9-7546F32C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014"/>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70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095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680954"/>
    <w:rPr>
      <w:rFonts w:ascii="Segoe UI" w:hAnsi="Segoe UI" w:cs="Segoe UI"/>
      <w:sz w:val="18"/>
      <w:szCs w:val="18"/>
      <w:lang w:val="uk-UA" w:eastAsia="en-US"/>
    </w:rPr>
  </w:style>
  <w:style w:type="character" w:styleId="a6">
    <w:name w:val="Hyperlink"/>
    <w:uiPriority w:val="99"/>
    <w:unhideWhenUsed/>
    <w:rsid w:val="00711571"/>
    <w:rPr>
      <w:color w:val="0563C1"/>
      <w:u w:val="single"/>
    </w:rPr>
  </w:style>
  <w:style w:type="character" w:styleId="a7">
    <w:name w:val="Emphasis"/>
    <w:uiPriority w:val="20"/>
    <w:qFormat/>
    <w:rsid w:val="0020762F"/>
    <w:rPr>
      <w:i/>
      <w:iCs/>
    </w:rPr>
  </w:style>
  <w:style w:type="paragraph" w:styleId="a8">
    <w:name w:val="Normal (Web)"/>
    <w:basedOn w:val="a"/>
    <w:uiPriority w:val="99"/>
    <w:rsid w:val="00686C1D"/>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9866">
      <w:bodyDiv w:val="1"/>
      <w:marLeft w:val="0"/>
      <w:marRight w:val="0"/>
      <w:marTop w:val="0"/>
      <w:marBottom w:val="0"/>
      <w:divBdr>
        <w:top w:val="none" w:sz="0" w:space="0" w:color="auto"/>
        <w:left w:val="none" w:sz="0" w:space="0" w:color="auto"/>
        <w:bottom w:val="none" w:sz="0" w:space="0" w:color="auto"/>
        <w:right w:val="none" w:sz="0" w:space="0" w:color="auto"/>
      </w:divBdr>
    </w:div>
    <w:div w:id="61683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c.dniprorada.gov.ua/attachments/article/1433/95_2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c.dniprorada.gov.ua/attachments/article/1433/95_2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C1F9D-60D5-4987-8222-ACC7C864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2515</Words>
  <Characters>1435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ЗВІТ</vt:lpstr>
    </vt:vector>
  </TitlesOfParts>
  <Company>*</Company>
  <LinksUpToDate>false</LinksUpToDate>
  <CharactersWithSpaces>3943</CharactersWithSpaces>
  <SharedDoc>false</SharedDoc>
  <HLinks>
    <vt:vector size="12" baseType="variant">
      <vt:variant>
        <vt:i4>327800</vt:i4>
      </vt:variant>
      <vt:variant>
        <vt:i4>3</vt:i4>
      </vt:variant>
      <vt:variant>
        <vt:i4>0</vt:i4>
      </vt:variant>
      <vt:variant>
        <vt:i4>5</vt:i4>
      </vt:variant>
      <vt:variant>
        <vt:lpwstr>http://bc.dniprorada.gov.ua/attachments/article/1433/95_24.pdf</vt:lpwstr>
      </vt:variant>
      <vt:variant>
        <vt:lpwstr/>
      </vt:variant>
      <vt:variant>
        <vt:i4>327800</vt:i4>
      </vt:variant>
      <vt:variant>
        <vt:i4>0</vt:i4>
      </vt:variant>
      <vt:variant>
        <vt:i4>0</vt:i4>
      </vt:variant>
      <vt:variant>
        <vt:i4>5</vt:i4>
      </vt:variant>
      <vt:variant>
        <vt:lpwstr>http://bc.dniprorada.gov.ua/attachments/article/1433/95_24.pdf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subject/>
  <dc:creator>Артур</dc:creator>
  <cp:keywords/>
  <cp:lastModifiedBy>Ольга Володимирівна Мороз</cp:lastModifiedBy>
  <cp:revision>3</cp:revision>
  <cp:lastPrinted>2019-07-10T11:54:00Z</cp:lastPrinted>
  <dcterms:created xsi:type="dcterms:W3CDTF">2019-12-17T12:48:00Z</dcterms:created>
  <dcterms:modified xsi:type="dcterms:W3CDTF">2019-12-17T13:09:00Z</dcterms:modified>
</cp:coreProperties>
</file>