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E6" w:rsidRPr="00143B2D" w:rsidRDefault="0097164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43B2D">
        <w:rPr>
          <w:b/>
          <w:bCs/>
          <w:color w:val="000000"/>
          <w:sz w:val="28"/>
          <w:szCs w:val="28"/>
          <w:lang w:val="uk-UA"/>
        </w:rPr>
        <w:t>З</w:t>
      </w:r>
      <w:r w:rsidR="00143B2D" w:rsidRPr="00143B2D">
        <w:rPr>
          <w:b/>
          <w:bCs/>
          <w:color w:val="000000"/>
          <w:sz w:val="28"/>
          <w:szCs w:val="28"/>
          <w:lang w:val="uk-UA"/>
        </w:rPr>
        <w:t>ВІТ</w:t>
      </w:r>
    </w:p>
    <w:p w:rsidR="006514E6" w:rsidRPr="00143B2D" w:rsidRDefault="0097164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43B2D">
        <w:rPr>
          <w:b/>
          <w:bCs/>
          <w:color w:val="000000"/>
          <w:sz w:val="28"/>
          <w:szCs w:val="28"/>
          <w:lang w:val="uk-UA"/>
        </w:rPr>
        <w:t xml:space="preserve">про повторне відстеження результативності регуляторного акта – </w:t>
      </w:r>
    </w:p>
    <w:p w:rsidR="008A6C62" w:rsidRDefault="0097164B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143B2D">
        <w:rPr>
          <w:b/>
          <w:bCs/>
          <w:color w:val="000000"/>
          <w:sz w:val="28"/>
          <w:szCs w:val="28"/>
          <w:lang w:val="uk-UA"/>
        </w:rPr>
        <w:t xml:space="preserve">рішення виконавчого комітету Дніпровської міської ради від 01.09.2020 </w:t>
      </w:r>
    </w:p>
    <w:p w:rsidR="006514E6" w:rsidRPr="00143B2D" w:rsidRDefault="0097164B">
      <w:pPr>
        <w:jc w:val="center"/>
        <w:rPr>
          <w:b/>
          <w:lang w:val="uk-UA"/>
        </w:rPr>
      </w:pPr>
      <w:r w:rsidRPr="00143B2D">
        <w:rPr>
          <w:b/>
          <w:bCs/>
          <w:color w:val="000000"/>
          <w:sz w:val="28"/>
          <w:szCs w:val="28"/>
          <w:lang w:val="uk-UA"/>
        </w:rPr>
        <w:t xml:space="preserve">№ 908 </w:t>
      </w:r>
      <w:r w:rsidRPr="00143B2D">
        <w:rPr>
          <w:b/>
          <w:color w:val="000000"/>
          <w:sz w:val="28"/>
          <w:szCs w:val="28"/>
          <w:lang w:val="uk-UA"/>
        </w:rPr>
        <w:t xml:space="preserve">«Про затвердження </w:t>
      </w:r>
      <w:r w:rsidRPr="00143B2D">
        <w:rPr>
          <w:rStyle w:val="rvts23"/>
          <w:b/>
          <w:color w:val="000000"/>
          <w:sz w:val="28"/>
          <w:szCs w:val="28"/>
          <w:lang w:val="uk-UA"/>
        </w:rPr>
        <w:t>Правил приймання стічних вод до систем централізованого водовідведення м. Дніпра»</w:t>
      </w:r>
    </w:p>
    <w:p w:rsidR="006514E6" w:rsidRDefault="006514E6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>1. Вид та назва регуляторного акта, результативність якого відстежуєтьс</w:t>
      </w:r>
      <w:r w:rsidR="008A6C62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6514E6" w:rsidRDefault="008A6C62" w:rsidP="00FD7BE4">
      <w:pPr>
        <w:pStyle w:val="ab"/>
        <w:ind w:firstLine="567"/>
        <w:jc w:val="both"/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Дніпровської міської ради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 01.09.2020             № 908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«Про затвердження </w:t>
      </w:r>
      <w:r w:rsidR="0097164B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Правил приймання стічних вод до систем централізованого в</w:t>
      </w:r>
      <w:r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 xml:space="preserve">одовідведення </w:t>
      </w:r>
      <w:r w:rsidR="0097164B">
        <w:rPr>
          <w:rStyle w:val="rvts23"/>
          <w:rFonts w:ascii="Times New Roman" w:hAnsi="Times New Roman"/>
          <w:color w:val="000000"/>
          <w:sz w:val="28"/>
          <w:szCs w:val="28"/>
          <w:lang w:val="uk-UA"/>
        </w:rPr>
        <w:t>м. Дніпра».</w:t>
      </w:r>
    </w:p>
    <w:p w:rsidR="008A6C62" w:rsidRPr="008A6C62" w:rsidRDefault="008A6C62" w:rsidP="00FD7BE4">
      <w:pPr>
        <w:pStyle w:val="ab"/>
        <w:ind w:firstLine="567"/>
        <w:jc w:val="both"/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8A6C62" w:rsidRPr="008A6C62" w:rsidRDefault="0097164B" w:rsidP="00FD7BE4">
      <w:pPr>
        <w:pStyle w:val="ab"/>
        <w:ind w:firstLine="567"/>
        <w:jc w:val="both"/>
        <w:rPr>
          <w:rStyle w:val="rvts23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6C62">
        <w:rPr>
          <w:rStyle w:val="rvts23"/>
          <w:rFonts w:ascii="Times New Roman" w:hAnsi="Times New Roman"/>
          <w:b/>
          <w:color w:val="000000"/>
          <w:sz w:val="28"/>
          <w:szCs w:val="28"/>
          <w:lang w:val="uk-UA"/>
        </w:rPr>
        <w:t xml:space="preserve">2. </w:t>
      </w:r>
      <w:r w:rsidR="00FD7BE4">
        <w:rPr>
          <w:rStyle w:val="rvts23"/>
          <w:rFonts w:ascii="Times New Roman" w:hAnsi="Times New Roman"/>
          <w:b/>
          <w:color w:val="000000"/>
          <w:sz w:val="28"/>
          <w:szCs w:val="28"/>
          <w:lang w:val="uk-UA"/>
        </w:rPr>
        <w:t>Виконавець</w:t>
      </w:r>
      <w:r w:rsidR="008A6C62" w:rsidRPr="008A6C62">
        <w:rPr>
          <w:rStyle w:val="rvts23"/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заходів з відстеження</w:t>
      </w:r>
    </w:p>
    <w:p w:rsidR="006514E6" w:rsidRDefault="008A6C62" w:rsidP="00FD7BE4">
      <w:pPr>
        <w:pStyle w:val="ab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97164B">
        <w:rPr>
          <w:rFonts w:ascii="Times New Roman" w:hAnsi="Times New Roman"/>
          <w:sz w:val="28"/>
          <w:szCs w:val="28"/>
          <w:lang w:val="uk-UA"/>
        </w:rPr>
        <w:t>епартамент благоустрою та інфраструктури Дніпровської міської ради (49000</w:t>
      </w:r>
      <w:r>
        <w:rPr>
          <w:rFonts w:ascii="Times New Roman" w:hAnsi="Times New Roman"/>
          <w:sz w:val="28"/>
          <w:szCs w:val="28"/>
          <w:lang w:val="uk-UA"/>
        </w:rPr>
        <w:t>, Україна, м. Дніпро, вул. Воло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димира Мономаха, буд. 17, </w:t>
      </w:r>
      <w:r w:rsidR="0097164B">
        <w:rPr>
          <w:rFonts w:ascii="Times New Roman" w:hAnsi="Times New Roman"/>
          <w:sz w:val="28"/>
          <w:szCs w:val="28"/>
          <w:lang w:val="en-US"/>
        </w:rPr>
        <w:t>blagodep</w:t>
      </w:r>
      <w:r w:rsidR="0097164B">
        <w:rPr>
          <w:rFonts w:ascii="Times New Roman" w:hAnsi="Times New Roman"/>
          <w:sz w:val="28"/>
          <w:szCs w:val="28"/>
          <w:lang w:val="uk-UA"/>
        </w:rPr>
        <w:t>@</w:t>
      </w:r>
      <w:r w:rsidR="0097164B">
        <w:rPr>
          <w:rFonts w:ascii="Times New Roman" w:hAnsi="Times New Roman"/>
          <w:sz w:val="28"/>
          <w:szCs w:val="28"/>
          <w:lang w:val="en-US"/>
        </w:rPr>
        <w:t>dniprorada</w:t>
      </w:r>
      <w:r w:rsidR="0097164B">
        <w:rPr>
          <w:rFonts w:ascii="Times New Roman" w:hAnsi="Times New Roman"/>
          <w:sz w:val="28"/>
          <w:szCs w:val="28"/>
          <w:lang w:val="uk-UA"/>
        </w:rPr>
        <w:t>.</w:t>
      </w:r>
      <w:r w:rsidR="0097164B">
        <w:rPr>
          <w:rFonts w:ascii="Times New Roman" w:hAnsi="Times New Roman"/>
          <w:sz w:val="28"/>
          <w:szCs w:val="28"/>
          <w:lang w:val="en-US"/>
        </w:rPr>
        <w:t>gov</w:t>
      </w:r>
      <w:r w:rsidR="0097164B">
        <w:rPr>
          <w:rFonts w:ascii="Times New Roman" w:hAnsi="Times New Roman"/>
          <w:sz w:val="28"/>
          <w:szCs w:val="28"/>
          <w:lang w:val="uk-UA"/>
        </w:rPr>
        <w:t>.</w:t>
      </w:r>
      <w:r w:rsidR="0097164B">
        <w:rPr>
          <w:rFonts w:ascii="Times New Roman" w:hAnsi="Times New Roman"/>
          <w:sz w:val="28"/>
          <w:szCs w:val="28"/>
          <w:lang w:val="en-US"/>
        </w:rPr>
        <w:t>ua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164B">
        <w:rPr>
          <w:rFonts w:ascii="Times New Roman" w:hAnsi="Times New Roman"/>
          <w:sz w:val="28"/>
          <w:szCs w:val="28"/>
          <w:lang w:val="en-US"/>
        </w:rPr>
        <w:t>departamentblag</w:t>
      </w:r>
      <w:r w:rsidR="0097164B">
        <w:rPr>
          <w:rFonts w:ascii="Times New Roman" w:hAnsi="Times New Roman"/>
          <w:sz w:val="28"/>
          <w:szCs w:val="28"/>
          <w:lang w:val="uk-UA"/>
        </w:rPr>
        <w:t>@</w:t>
      </w:r>
      <w:r w:rsidR="0097164B">
        <w:rPr>
          <w:rFonts w:ascii="Times New Roman" w:hAnsi="Times New Roman"/>
          <w:sz w:val="28"/>
          <w:szCs w:val="28"/>
          <w:lang w:val="en-US"/>
        </w:rPr>
        <w:t>ukr</w:t>
      </w:r>
      <w:r w:rsidR="0097164B">
        <w:rPr>
          <w:rFonts w:ascii="Times New Roman" w:hAnsi="Times New Roman"/>
          <w:sz w:val="28"/>
          <w:szCs w:val="28"/>
          <w:lang w:val="uk-UA"/>
        </w:rPr>
        <w:t>.</w:t>
      </w:r>
      <w:r w:rsidR="0097164B">
        <w:rPr>
          <w:rFonts w:ascii="Times New Roman" w:hAnsi="Times New Roman"/>
          <w:sz w:val="28"/>
          <w:szCs w:val="28"/>
          <w:lang w:val="en-US"/>
        </w:rPr>
        <w:t>net</w:t>
      </w:r>
      <w:r w:rsidR="0097164B">
        <w:rPr>
          <w:rFonts w:ascii="Times New Roman" w:hAnsi="Times New Roman"/>
          <w:sz w:val="28"/>
          <w:szCs w:val="28"/>
          <w:lang w:val="uk-UA"/>
        </w:rPr>
        <w:t>).</w:t>
      </w:r>
    </w:p>
    <w:p w:rsidR="008A6C62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 xml:space="preserve">3. Цілі прийняття </w:t>
      </w:r>
      <w:r w:rsidR="008A6C62">
        <w:rPr>
          <w:rFonts w:ascii="Times New Roman" w:hAnsi="Times New Roman"/>
          <w:b/>
          <w:sz w:val="28"/>
          <w:szCs w:val="28"/>
          <w:lang w:val="uk-UA"/>
        </w:rPr>
        <w:t>регуляторного акта</w:t>
      </w:r>
    </w:p>
    <w:p w:rsidR="006514E6" w:rsidRDefault="0097164B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Цілями державного регулювання цього регуляторного акта є запобігання порушенням у роботі системи централізованого водовідведення, підвищення ефективності роботи системи і безпеки її експлуатації та забезпечення охорони навколишнього природного середовища від забруднення скидами стічних вод споживачів за рахунок:</w:t>
      </w:r>
    </w:p>
    <w:p w:rsidR="006514E6" w:rsidRDefault="00FD7BE4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забезпечення безаварійної роботи системи централізованого водовідведення (запобігання замулюванню, зажирюванню, закупорці трубопроводів, а також агресивному впливу </w:t>
      </w:r>
      <w:r w:rsidR="00E31BDA">
        <w:rPr>
          <w:rFonts w:ascii="Times New Roman" w:hAnsi="Times New Roman"/>
          <w:sz w:val="28"/>
          <w:szCs w:val="28"/>
          <w:lang w:val="uk-UA"/>
        </w:rPr>
        <w:t xml:space="preserve">забруднюючих речовин </w:t>
      </w:r>
      <w:r w:rsidR="0097164B">
        <w:rPr>
          <w:rFonts w:ascii="Times New Roman" w:hAnsi="Times New Roman"/>
          <w:sz w:val="28"/>
          <w:szCs w:val="28"/>
          <w:lang w:val="uk-UA"/>
        </w:rPr>
        <w:t>на матеріал труб, колодязів, устаткування);</w:t>
      </w:r>
    </w:p>
    <w:p w:rsidR="006514E6" w:rsidRDefault="00FD7BE4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7164B">
        <w:rPr>
          <w:rFonts w:ascii="Times New Roman" w:hAnsi="Times New Roman"/>
          <w:sz w:val="28"/>
          <w:szCs w:val="28"/>
          <w:lang w:val="uk-UA"/>
        </w:rPr>
        <w:t>забезпечення стійкої роботи міських оч</w:t>
      </w:r>
      <w:r w:rsidR="00AA4206">
        <w:rPr>
          <w:rFonts w:ascii="Times New Roman" w:hAnsi="Times New Roman"/>
          <w:sz w:val="28"/>
          <w:szCs w:val="28"/>
          <w:lang w:val="uk-UA"/>
        </w:rPr>
        <w:t>исних споруд, поліпшення очищення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 стічних вод (запобігання порушенню технологічного режиму очищення стічних вод унаслідок наднормативного (токсичного) надходження забруднюючих речовин);</w:t>
      </w:r>
    </w:p>
    <w:p w:rsidR="006514E6" w:rsidRDefault="00FD7BE4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7164B">
        <w:rPr>
          <w:rFonts w:ascii="Times New Roman" w:hAnsi="Times New Roman"/>
          <w:sz w:val="28"/>
          <w:szCs w:val="28"/>
          <w:lang w:val="uk-UA"/>
        </w:rPr>
        <w:t>встановлення допустимих концентрацій для кожної забруднюючої речовини, що може скидатися споживачами в систему каналізації, відповідальності та міри впливу за їх порушення, а також відображення місцевих особливостей приймання стічних вод у міську каналізацію;</w:t>
      </w:r>
    </w:p>
    <w:p w:rsidR="006514E6" w:rsidRDefault="00FD7BE4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7164B">
        <w:rPr>
          <w:rFonts w:ascii="Times New Roman" w:hAnsi="Times New Roman"/>
          <w:sz w:val="28"/>
          <w:szCs w:val="28"/>
          <w:lang w:val="uk-UA"/>
        </w:rPr>
        <w:t>мотивування підприємств, організацій, установ та фізичних осіб – підприємців дотримуватись установлених норм д</w:t>
      </w:r>
      <w:r>
        <w:rPr>
          <w:rFonts w:ascii="Times New Roman" w:hAnsi="Times New Roman"/>
          <w:sz w:val="28"/>
          <w:szCs w:val="28"/>
          <w:lang w:val="uk-UA"/>
        </w:rPr>
        <w:t>опустимих концентрацій забрудню</w:t>
      </w:r>
      <w:r w:rsidR="0097164B">
        <w:rPr>
          <w:rFonts w:ascii="Times New Roman" w:hAnsi="Times New Roman"/>
          <w:sz w:val="28"/>
          <w:szCs w:val="28"/>
          <w:lang w:val="uk-UA"/>
        </w:rPr>
        <w:t>ючих речовин стічних вод при скиді в міські каналізаційні мережі;</w:t>
      </w:r>
    </w:p>
    <w:p w:rsidR="006514E6" w:rsidRDefault="00FD7BE4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AA4206">
        <w:rPr>
          <w:rFonts w:ascii="Times New Roman" w:hAnsi="Times New Roman"/>
          <w:sz w:val="28"/>
          <w:szCs w:val="28"/>
          <w:lang w:val="uk-UA"/>
        </w:rPr>
        <w:t>покращення якості річкової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 води в рекреаційній зоні.</w:t>
      </w:r>
    </w:p>
    <w:p w:rsidR="008A6C62" w:rsidRDefault="008A6C62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62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 xml:space="preserve">4. Строк </w:t>
      </w:r>
      <w:r w:rsidR="008A6C62" w:rsidRPr="008A6C62">
        <w:rPr>
          <w:rFonts w:ascii="Times New Roman" w:hAnsi="Times New Roman"/>
          <w:b/>
          <w:sz w:val="28"/>
          <w:szCs w:val="28"/>
          <w:lang w:val="uk-UA"/>
        </w:rPr>
        <w:t>виконання заходів з відстеження</w:t>
      </w:r>
    </w:p>
    <w:p w:rsidR="006514E6" w:rsidRDefault="00AA4206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20.09.2021–</w:t>
      </w:r>
      <w:r w:rsidR="0097164B">
        <w:rPr>
          <w:rFonts w:ascii="Times New Roman" w:hAnsi="Times New Roman"/>
          <w:sz w:val="28"/>
          <w:szCs w:val="28"/>
          <w:lang w:val="uk-UA"/>
        </w:rPr>
        <w:t>08.10.2021.</w:t>
      </w:r>
    </w:p>
    <w:p w:rsidR="008A6C62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>5. Тип відстеження</w:t>
      </w:r>
    </w:p>
    <w:p w:rsidR="008A6C62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7164B">
        <w:rPr>
          <w:rFonts w:ascii="Times New Roman" w:hAnsi="Times New Roman"/>
          <w:sz w:val="28"/>
          <w:szCs w:val="28"/>
          <w:lang w:val="uk-UA"/>
        </w:rPr>
        <w:t>овторне.</w:t>
      </w:r>
    </w:p>
    <w:p w:rsidR="004D513A" w:rsidRDefault="004D513A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C62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>6. Методи од</w:t>
      </w:r>
      <w:r w:rsidR="008A6C62" w:rsidRPr="008A6C62">
        <w:rPr>
          <w:rFonts w:ascii="Times New Roman" w:hAnsi="Times New Roman"/>
          <w:b/>
          <w:sz w:val="28"/>
          <w:szCs w:val="28"/>
          <w:lang w:val="uk-UA"/>
        </w:rPr>
        <w:t>ержання результатів відстеження</w:t>
      </w:r>
      <w:r w:rsidRPr="008A6C6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514E6" w:rsidRDefault="00AA4206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Для проведення повторного</w:t>
      </w:r>
      <w:r w:rsidR="008A6C62">
        <w:rPr>
          <w:rFonts w:ascii="Times New Roman" w:hAnsi="Times New Roman"/>
          <w:sz w:val="28"/>
          <w:szCs w:val="28"/>
          <w:lang w:val="uk-UA"/>
        </w:rPr>
        <w:t xml:space="preserve"> відстеження використовувались 2 методи одержання результатів відстеження: </w:t>
      </w:r>
      <w:r w:rsidR="0097164B">
        <w:rPr>
          <w:rFonts w:ascii="Times New Roman" w:hAnsi="Times New Roman"/>
          <w:sz w:val="28"/>
          <w:szCs w:val="28"/>
          <w:lang w:val="uk-UA"/>
        </w:rPr>
        <w:t>статистичний</w:t>
      </w:r>
      <w:r w:rsidR="008A6C62">
        <w:rPr>
          <w:rFonts w:ascii="Times New Roman" w:hAnsi="Times New Roman"/>
          <w:sz w:val="28"/>
          <w:szCs w:val="28"/>
          <w:lang w:val="uk-UA"/>
        </w:rPr>
        <w:t xml:space="preserve"> та соціологічний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A6C62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6C62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6514E6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97164B">
        <w:rPr>
          <w:rFonts w:ascii="Times New Roman" w:hAnsi="Times New Roman"/>
          <w:sz w:val="28"/>
          <w:szCs w:val="28"/>
          <w:lang w:val="uk-UA"/>
        </w:rPr>
        <w:t>ідстеження результативності регуляторного акта здійснювалося шляхом аналізу наявної облікової та звітної інформації</w:t>
      </w:r>
      <w:r w:rsidR="00AA4206"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 благоустрою та інфраструктури Дніпровської міської ради, Комунального підприємства «Дніпроводок</w:t>
      </w:r>
      <w:r w:rsidR="00AA4206">
        <w:rPr>
          <w:rFonts w:ascii="Times New Roman" w:hAnsi="Times New Roman"/>
          <w:sz w:val="28"/>
          <w:szCs w:val="28"/>
          <w:lang w:val="uk-UA"/>
        </w:rPr>
        <w:t>анал» Дніпровської міської ради та</w:t>
      </w:r>
      <w:r w:rsidR="009716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64B">
        <w:rPr>
          <w:rFonts w:ascii="Times New Roman" w:hAnsi="Times New Roman"/>
          <w:color w:val="000000"/>
          <w:sz w:val="28"/>
          <w:szCs w:val="28"/>
          <w:lang w:val="uk-UA"/>
        </w:rPr>
        <w:t>проведення консультацій з представниками суб’єктів господарювання – споживачів послуг.</w:t>
      </w:r>
    </w:p>
    <w:p w:rsidR="008A6C62" w:rsidRDefault="008A6C62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A6C62">
        <w:rPr>
          <w:rFonts w:ascii="Times New Roman" w:hAnsi="Times New Roman"/>
          <w:b/>
          <w:sz w:val="28"/>
          <w:szCs w:val="28"/>
          <w:lang w:val="uk-UA"/>
        </w:rPr>
        <w:t>8. Кількісні та якісні показники резу</w:t>
      </w:r>
      <w:r w:rsidR="008A6C62">
        <w:rPr>
          <w:rFonts w:ascii="Times New Roman" w:hAnsi="Times New Roman"/>
          <w:b/>
          <w:sz w:val="28"/>
          <w:szCs w:val="28"/>
          <w:lang w:val="uk-UA"/>
        </w:rPr>
        <w:t>льтативності регуляторного акта</w:t>
      </w:r>
    </w:p>
    <w:p w:rsidR="006514E6" w:rsidRDefault="006514E6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8"/>
        <w:gridCol w:w="3070"/>
        <w:gridCol w:w="3070"/>
        <w:gridCol w:w="1987"/>
      </w:tblGrid>
      <w:tr w:rsidR="006514E6" w:rsidTr="004D513A">
        <w:trPr>
          <w:trHeight w:val="433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Показник результативності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2019 рік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2020 рік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91568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2021 рік 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(очікуване виконання)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</w:tr>
      <w:tr w:rsidR="006514E6" w:rsidTr="006C2AD5">
        <w:trPr>
          <w:trHeight w:val="232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Кількісні:</w:t>
            </w:r>
          </w:p>
        </w:tc>
      </w:tr>
      <w:tr w:rsidR="006514E6" w:rsidTr="006C2AD5">
        <w:trPr>
          <w:trHeight w:val="279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 забруднюючої речовини в стічних водах:</w:t>
            </w:r>
          </w:p>
        </w:tc>
      </w:tr>
      <w:tr w:rsidR="006514E6" w:rsidTr="004D513A">
        <w:trPr>
          <w:trHeight w:val="548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Хімічне споживання кисню (ХСК)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8563,50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 9948,50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ПСА – 2950,00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8255,5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9100,0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ПСА – 2500,0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7330,5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8753,5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ПСА – 2300,0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690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Завислі речовини та речовини, що спливають 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 5000,00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5000,00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5000,00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4900,0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5000,0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4725,0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4680,0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4880,0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4550,5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Азот (сума азоту органічного та амонійного)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187,53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150,42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75,46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178,25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144,5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80,5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169,3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136,7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72,5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Фосфор загальний 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93,73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56,81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20,22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87,6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62,0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25,5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84,6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52,0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20,5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Нафта та нафтопродукти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10,42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5,63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 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–9,88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–6,2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1,4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–9,3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–5,4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0,0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Жири рослинні та тваринні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605,00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382,00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120,60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–625,0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–300,0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–100,0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–515,0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–285,0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–88,5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4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Хлориди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2215,81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363,27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8500,00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–1876,5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–320,0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–6400,0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–1710,0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–300,0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–5700,0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632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Сульфати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411,26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254,16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82,55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–403,0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–240,1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–89,0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–375,8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–226,5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–80,5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643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СПАР аніонні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84,75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19,90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–81,8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–22,3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–2,5г 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–70,5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–17,6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–0,0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497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Залізо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 28,27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 29,90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 12,46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–27,6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–27,9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–14,2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ЦСА –26,7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jc w:val="center"/>
              <w:rPr>
                <w:rFonts w:eastAsia="Calibri"/>
                <w:sz w:val="16"/>
                <w:szCs w:val="16"/>
                <w:highlight w:val="yellow"/>
                <w:lang w:val="uk-UA"/>
              </w:rPr>
            </w:pPr>
            <w:r>
              <w:rPr>
                <w:rFonts w:eastAsia="Calibri"/>
                <w:sz w:val="16"/>
                <w:szCs w:val="16"/>
                <w:lang w:val="uk-UA"/>
              </w:rPr>
              <w:t>ЛСА –27,1 г/м</w:t>
            </w:r>
            <w:r>
              <w:rPr>
                <w:rFonts w:eastAsia="Calibri"/>
                <w:sz w:val="16"/>
                <w:szCs w:val="16"/>
                <w:vertAlign w:val="superscript"/>
                <w:lang w:val="uk-UA"/>
              </w:rPr>
              <w:t>3</w:t>
            </w:r>
          </w:p>
          <w:p w:rsidR="006514E6" w:rsidRDefault="0097164B">
            <w:pPr>
              <w:pStyle w:val="ab"/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ПСА –14,9 г/м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  <w:t>3</w:t>
            </w:r>
          </w:p>
        </w:tc>
      </w:tr>
      <w:tr w:rsidR="006514E6" w:rsidTr="004D513A">
        <w:trPr>
          <w:trHeight w:val="1285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Pr="00A91568" w:rsidRDefault="0097164B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 виявлених порушень у частині понаднормативного скиду забруднюючих речовин у систему централізованого водовідведення, од.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637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405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365</w:t>
            </w:r>
          </w:p>
        </w:tc>
      </w:tr>
      <w:tr w:rsidR="006514E6" w:rsidTr="004D513A">
        <w:trPr>
          <w:trHeight w:val="2113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 w:rsidP="00A91568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Сума надходжень гро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шових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коштів, </w:t>
            </w:r>
            <w:proofErr w:type="spellStart"/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нарахо-ван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их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за результатами перевірок, за переви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щення рівня вмісту забруднюючих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речо</w:t>
            </w:r>
            <w:proofErr w:type="spellEnd"/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вин у стічних водах споживачів, що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скида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ються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до системи централізованого во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довідведення, грн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5 393 464,26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6 318 182,88</w:t>
            </w:r>
            <w:r w:rsidR="00EF177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(з урахуванням підвищення тарифу та збільшення обсягів стічних вод)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4 000 000,00</w:t>
            </w:r>
          </w:p>
        </w:tc>
      </w:tr>
      <w:tr w:rsidR="00AA4206" w:rsidTr="00AA4206">
        <w:trPr>
          <w:trHeight w:val="274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4206" w:rsidRDefault="00AA4206" w:rsidP="00AA420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4206" w:rsidRDefault="00AA4206" w:rsidP="00AA420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4206" w:rsidRDefault="00AA4206" w:rsidP="00AA420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A4206" w:rsidRDefault="00AA4206" w:rsidP="00AA4206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</w:tr>
      <w:tr w:rsidR="006514E6" w:rsidTr="006C2AD5">
        <w:trPr>
          <w:trHeight w:val="245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 xml:space="preserve">Якісні (у бальній системі в межах розділу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)*:</w:t>
            </w:r>
          </w:p>
        </w:tc>
      </w:tr>
      <w:tr w:rsidR="006514E6" w:rsidTr="004D513A">
        <w:trPr>
          <w:trHeight w:val="985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97164B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Показники якості стічних вод спожива</w:t>
            </w:r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чів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що скидаються до системи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централізова</w:t>
            </w:r>
            <w:proofErr w:type="spellEnd"/>
            <w:r w:rsidR="00A91568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ного водовідведення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  <w:tr w:rsidR="006514E6" w:rsidTr="004D513A">
        <w:trPr>
          <w:trHeight w:val="493"/>
        </w:trPr>
        <w:tc>
          <w:tcPr>
            <w:tcW w:w="91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514E6" w:rsidRDefault="00A91568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Рівень п</w:t>
            </w:r>
            <w:r w:rsidR="0097164B">
              <w:rPr>
                <w:rFonts w:ascii="Times New Roman" w:hAnsi="Times New Roman"/>
                <w:sz w:val="16"/>
                <w:szCs w:val="16"/>
                <w:lang w:val="uk-UA"/>
              </w:rPr>
              <w:t>оінформова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="0097164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ності суб’єктів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госпо-</w:t>
            </w:r>
            <w:r w:rsidR="0097164B">
              <w:rPr>
                <w:rFonts w:ascii="Times New Roman" w:hAnsi="Times New Roman"/>
                <w:sz w:val="16"/>
                <w:szCs w:val="16"/>
                <w:lang w:val="uk-UA"/>
              </w:rPr>
              <w:t>дарювання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5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514E6" w:rsidRDefault="0097164B">
            <w:pPr>
              <w:pStyle w:val="ab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</w:tr>
    </w:tbl>
    <w:p w:rsidR="006C2AD5" w:rsidRDefault="006C2AD5">
      <w:pPr>
        <w:pStyle w:val="ab"/>
        <w:ind w:firstLine="709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6C62">
        <w:rPr>
          <w:rFonts w:ascii="Times New Roman" w:hAnsi="Times New Roman"/>
          <w:sz w:val="20"/>
          <w:szCs w:val="20"/>
          <w:lang w:val="uk-UA"/>
        </w:rPr>
        <w:t>*Оцінка ступеня досягнення визначених цілей здійснюється за чотирибальною системою, де:</w:t>
      </w: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6C62">
        <w:rPr>
          <w:rFonts w:ascii="Times New Roman" w:hAnsi="Times New Roman"/>
          <w:sz w:val="20"/>
          <w:szCs w:val="20"/>
          <w:lang w:val="uk-UA"/>
        </w:rPr>
        <w:t>«4» – цілі прийняття регуляторного акта, які можуть бути досягнуті повною мірою (проблема більше існувати не буде);</w:t>
      </w: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6C62">
        <w:rPr>
          <w:rFonts w:ascii="Times New Roman" w:hAnsi="Times New Roman"/>
          <w:sz w:val="20"/>
          <w:szCs w:val="20"/>
          <w:lang w:val="uk-UA"/>
        </w:rPr>
        <w:t>«3» – цілі прийняття регуляторного акта, які можуть бути досягнуті майже повною мірою (усі важливі аспекти проблеми існувати не будуть);</w:t>
      </w: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6C62">
        <w:rPr>
          <w:rFonts w:ascii="Times New Roman" w:hAnsi="Times New Roman"/>
          <w:sz w:val="20"/>
          <w:szCs w:val="20"/>
          <w:lang w:val="uk-UA"/>
        </w:rPr>
        <w:t>«2» – цілі прийняття регуляторного акта,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6514E6" w:rsidRPr="008A6C62" w:rsidRDefault="0097164B" w:rsidP="00FD7BE4">
      <w:pPr>
        <w:pStyle w:val="ab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8A6C62">
        <w:rPr>
          <w:rFonts w:ascii="Times New Roman" w:hAnsi="Times New Roman"/>
          <w:sz w:val="20"/>
          <w:szCs w:val="20"/>
          <w:lang w:val="uk-UA"/>
        </w:rPr>
        <w:t>«1» – цілі прийняття регуляторного акта, які не можуть бути досягнуті (проблема продовжує існувати).</w:t>
      </w:r>
    </w:p>
    <w:p w:rsidR="008A6C62" w:rsidRDefault="00A91568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поінформованості громадян та суб’єктів господарювання щодо основних полож</w:t>
      </w:r>
      <w:r w:rsidR="00AA4206">
        <w:rPr>
          <w:rFonts w:ascii="Times New Roman" w:hAnsi="Times New Roman"/>
          <w:sz w:val="28"/>
          <w:szCs w:val="28"/>
          <w:lang w:val="uk-UA"/>
        </w:rPr>
        <w:t>ень регуляторного акта</w:t>
      </w:r>
      <w:r>
        <w:rPr>
          <w:rFonts w:ascii="Times New Roman" w:hAnsi="Times New Roman"/>
          <w:sz w:val="28"/>
          <w:szCs w:val="28"/>
          <w:lang w:val="uk-UA"/>
        </w:rPr>
        <w:t xml:space="preserve"> досягнуто шляхом його оприлюднення на офіційному вебс</w:t>
      </w:r>
      <w:r w:rsidR="00AA4206">
        <w:rPr>
          <w:rFonts w:ascii="Times New Roman" w:hAnsi="Times New Roman"/>
          <w:sz w:val="28"/>
          <w:szCs w:val="28"/>
          <w:lang w:val="uk-UA"/>
        </w:rPr>
        <w:t>айті Дніпровської міської ради в</w:t>
      </w:r>
      <w:r>
        <w:rPr>
          <w:rFonts w:ascii="Times New Roman" w:hAnsi="Times New Roman"/>
          <w:sz w:val="28"/>
          <w:szCs w:val="28"/>
          <w:lang w:val="uk-UA"/>
        </w:rPr>
        <w:t xml:space="preserve"> меню «Регуляторна політика» та газеті «Наше місто». </w:t>
      </w:r>
    </w:p>
    <w:p w:rsidR="00A91568" w:rsidRDefault="00A91568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1568" w:rsidRPr="00A91568" w:rsidRDefault="0097164B" w:rsidP="00FD7BE4">
      <w:pPr>
        <w:pStyle w:val="ab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1568">
        <w:rPr>
          <w:rFonts w:ascii="Times New Roman" w:hAnsi="Times New Roman"/>
          <w:b/>
          <w:sz w:val="28"/>
          <w:szCs w:val="28"/>
          <w:lang w:val="uk-UA"/>
        </w:rPr>
        <w:t>9. Оцінка результатів реалізації регуляторного акта та ступ</w:t>
      </w:r>
      <w:r w:rsidR="00A91568">
        <w:rPr>
          <w:rFonts w:ascii="Times New Roman" w:hAnsi="Times New Roman"/>
          <w:b/>
          <w:sz w:val="28"/>
          <w:szCs w:val="28"/>
          <w:lang w:val="uk-UA"/>
        </w:rPr>
        <w:t>еня досягнення визначених цілей</w:t>
      </w:r>
    </w:p>
    <w:p w:rsidR="00AF63D6" w:rsidRPr="00AF63D6" w:rsidRDefault="00EF1778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63D6">
        <w:rPr>
          <w:rFonts w:ascii="Times New Roman" w:hAnsi="Times New Roman"/>
          <w:sz w:val="28"/>
          <w:szCs w:val="28"/>
          <w:lang w:val="uk-UA"/>
        </w:rPr>
        <w:t xml:space="preserve">Внаслідок запровадження регуляторного акта в місті </w:t>
      </w:r>
      <w:r w:rsidR="0097164B" w:rsidRPr="00AF63D6">
        <w:rPr>
          <w:rFonts w:ascii="Times New Roman" w:hAnsi="Times New Roman"/>
          <w:sz w:val="28"/>
          <w:szCs w:val="28"/>
          <w:lang w:val="uk-UA"/>
        </w:rPr>
        <w:t xml:space="preserve">вдосконалено систему </w:t>
      </w:r>
      <w:r w:rsidR="0097164B" w:rsidRPr="00AF63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відведення стічних вод від промислових підприємств і об’єктів господарської діяльності</w:t>
      </w:r>
      <w:r w:rsidR="00AF63D6" w:rsidRPr="00AF63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В цілому дія зазначеного регуляторного акта позитивно впливає на стан приймання стічних вод до систем центр</w:t>
      </w:r>
      <w:r w:rsidR="00AA42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алізованого водовідведення </w:t>
      </w:r>
      <w:r w:rsidR="002C0B8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</w:t>
      </w:r>
      <w:r w:rsidR="00AA42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м. Дніпра</w:t>
      </w:r>
      <w:r w:rsidR="00AF63D6" w:rsidRPr="00AF63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 До системи централізован</w:t>
      </w:r>
      <w:r w:rsidR="00AF63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ого водовідведення приймаються </w:t>
      </w:r>
      <w:r w:rsidR="00AF63D6" w:rsidRPr="00AF63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стічні води споживачів, які не призводять до порушення роботи каналізаційних мереж та очисних споруд. </w:t>
      </w:r>
      <w:r w:rsidR="00AF63D6" w:rsidRPr="00AF63D6">
        <w:rPr>
          <w:rFonts w:ascii="Times New Roman" w:hAnsi="Times New Roman"/>
          <w:sz w:val="28"/>
          <w:szCs w:val="28"/>
          <w:lang w:val="uk-UA"/>
        </w:rPr>
        <w:t>Прийняття регу</w:t>
      </w:r>
      <w:r w:rsidR="00AA4206">
        <w:rPr>
          <w:rFonts w:ascii="Times New Roman" w:hAnsi="Times New Roman"/>
          <w:sz w:val="28"/>
          <w:szCs w:val="28"/>
          <w:lang w:val="uk-UA"/>
        </w:rPr>
        <w:t>ляторного акта позитивно впливає на в</w:t>
      </w:r>
      <w:r w:rsidR="00AF63D6" w:rsidRPr="00AF63D6">
        <w:rPr>
          <w:rFonts w:ascii="Times New Roman" w:hAnsi="Times New Roman"/>
          <w:sz w:val="28"/>
          <w:szCs w:val="28"/>
          <w:lang w:val="uk-UA"/>
        </w:rPr>
        <w:t>досконалення відносин між КП «</w:t>
      </w:r>
      <w:proofErr w:type="spellStart"/>
      <w:r w:rsidR="00AF63D6" w:rsidRPr="00AF63D6">
        <w:rPr>
          <w:rFonts w:ascii="Times New Roman" w:hAnsi="Times New Roman"/>
          <w:sz w:val="28"/>
          <w:szCs w:val="28"/>
          <w:lang w:val="uk-UA"/>
        </w:rPr>
        <w:t>Дніпроводоканал</w:t>
      </w:r>
      <w:proofErr w:type="spellEnd"/>
      <w:r w:rsidR="00AF63D6" w:rsidRPr="00AF63D6">
        <w:rPr>
          <w:rFonts w:ascii="Times New Roman" w:hAnsi="Times New Roman"/>
          <w:sz w:val="28"/>
          <w:szCs w:val="28"/>
          <w:lang w:val="uk-UA"/>
        </w:rPr>
        <w:t xml:space="preserve">» та споживачами </w:t>
      </w:r>
      <w:r w:rsidR="00AA4206">
        <w:rPr>
          <w:rFonts w:ascii="Times New Roman" w:hAnsi="Times New Roman"/>
          <w:sz w:val="28"/>
          <w:szCs w:val="28"/>
          <w:lang w:val="uk-UA"/>
        </w:rPr>
        <w:t>послуг з водовідведення, захист</w:t>
      </w:r>
      <w:r w:rsidR="00AF63D6" w:rsidRPr="00AF63D6">
        <w:rPr>
          <w:rFonts w:ascii="Times New Roman" w:hAnsi="Times New Roman"/>
          <w:sz w:val="28"/>
          <w:szCs w:val="28"/>
          <w:lang w:val="uk-UA"/>
        </w:rPr>
        <w:t xml:space="preserve"> прав КП «</w:t>
      </w:r>
      <w:proofErr w:type="spellStart"/>
      <w:r w:rsidR="00AF63D6" w:rsidRPr="00AF63D6">
        <w:rPr>
          <w:rFonts w:ascii="Times New Roman" w:hAnsi="Times New Roman"/>
          <w:sz w:val="28"/>
          <w:szCs w:val="28"/>
          <w:lang w:val="uk-UA"/>
        </w:rPr>
        <w:t>Дніпроводоканал</w:t>
      </w:r>
      <w:proofErr w:type="spellEnd"/>
      <w:r w:rsidR="00AF63D6" w:rsidRPr="00AF63D6">
        <w:rPr>
          <w:rFonts w:ascii="Times New Roman" w:hAnsi="Times New Roman"/>
          <w:sz w:val="28"/>
          <w:szCs w:val="28"/>
          <w:lang w:val="uk-UA"/>
        </w:rPr>
        <w:t xml:space="preserve">» та споживачів, </w:t>
      </w:r>
      <w:r w:rsidR="00DC0BFE">
        <w:rPr>
          <w:rFonts w:ascii="Times New Roman" w:hAnsi="Times New Roman"/>
          <w:sz w:val="28"/>
          <w:szCs w:val="28"/>
          <w:lang w:val="uk-UA"/>
        </w:rPr>
        <w:t xml:space="preserve">сприяє </w:t>
      </w:r>
      <w:r w:rsidR="00AF63D6" w:rsidRPr="00AF63D6">
        <w:rPr>
          <w:rFonts w:ascii="Times New Roman" w:hAnsi="Times New Roman"/>
          <w:sz w:val="28"/>
          <w:szCs w:val="28"/>
          <w:lang w:val="uk-UA"/>
        </w:rPr>
        <w:t>уникненню екологічно небезпечних ситуацій.</w:t>
      </w:r>
    </w:p>
    <w:p w:rsidR="006514E6" w:rsidRDefault="0097164B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Застосування Правил приймання стічних вод до систем централізованого водовідведення м</w:t>
      </w:r>
      <w:r w:rsidR="009602B0">
        <w:rPr>
          <w:rFonts w:ascii="Times New Roman" w:hAnsi="Times New Roman"/>
          <w:sz w:val="28"/>
          <w:szCs w:val="28"/>
          <w:lang w:val="uk-UA"/>
        </w:rPr>
        <w:t>. Дніпра слід вважати доцільним</w:t>
      </w:r>
      <w:r>
        <w:rPr>
          <w:rFonts w:ascii="Times New Roman" w:hAnsi="Times New Roman"/>
          <w:sz w:val="28"/>
          <w:szCs w:val="28"/>
          <w:lang w:val="uk-UA"/>
        </w:rPr>
        <w:t>, обґрунтова</w:t>
      </w:r>
      <w:r w:rsidR="009602B0">
        <w:rPr>
          <w:rFonts w:ascii="Times New Roman" w:hAnsi="Times New Roman"/>
          <w:sz w:val="28"/>
          <w:szCs w:val="28"/>
          <w:lang w:val="uk-UA"/>
        </w:rPr>
        <w:t>ним та таким, що відповідає</w:t>
      </w:r>
      <w:r>
        <w:rPr>
          <w:rFonts w:ascii="Times New Roman" w:hAnsi="Times New Roman"/>
          <w:sz w:val="28"/>
          <w:szCs w:val="28"/>
          <w:lang w:val="uk-UA"/>
        </w:rPr>
        <w:t xml:space="preserve"> вимогам чинного законодавства України. </w:t>
      </w:r>
    </w:p>
    <w:p w:rsidR="00A91568" w:rsidRDefault="00A91568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Періодичні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діяльності».</w:t>
      </w:r>
    </w:p>
    <w:p w:rsidR="006514E6" w:rsidRDefault="006514E6" w:rsidP="00FD7BE4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14E6" w:rsidRDefault="006514E6" w:rsidP="00AF63D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63D6" w:rsidRDefault="00AF63D6" w:rsidP="00AF63D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2AD5" w:rsidRPr="00AF63D6" w:rsidRDefault="0097164B" w:rsidP="00AF63D6">
      <w:pPr>
        <w:spacing w:after="1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AF63D6">
        <w:rPr>
          <w:color w:val="000000"/>
          <w:sz w:val="28"/>
          <w:szCs w:val="28"/>
          <w:lang w:val="uk-UA"/>
        </w:rPr>
        <w:t xml:space="preserve">                   Борис ФІЛАТОВ</w:t>
      </w: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AF63D6" w:rsidRDefault="00AF63D6">
      <w:pPr>
        <w:jc w:val="both"/>
        <w:rPr>
          <w:color w:val="000000"/>
          <w:sz w:val="16"/>
          <w:szCs w:val="16"/>
          <w:lang w:val="uk-UA"/>
        </w:rPr>
      </w:pPr>
    </w:p>
    <w:p w:rsidR="006514E6" w:rsidRDefault="0097164B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Самілик Олексій 744 11 26</w:t>
      </w:r>
    </w:p>
    <w:p w:rsidR="006514E6" w:rsidRDefault="0097164B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>Довгань Андрій 719 93 66</w:t>
      </w:r>
    </w:p>
    <w:p w:rsidR="0002054B" w:rsidRDefault="0002054B">
      <w:pPr>
        <w:jc w:val="both"/>
        <w:rPr>
          <w:color w:val="000000"/>
          <w:sz w:val="16"/>
          <w:szCs w:val="16"/>
          <w:lang w:val="uk-UA"/>
        </w:rPr>
      </w:pPr>
      <w:bookmarkStart w:id="0" w:name="_GoBack"/>
      <w:bookmarkEnd w:id="0"/>
    </w:p>
    <w:sectPr w:rsidR="0002054B" w:rsidSect="00AF63D6">
      <w:pgSz w:w="11906" w:h="16838"/>
      <w:pgMar w:top="899" w:right="491" w:bottom="851" w:left="147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embedSystemFonts/>
  <w:proofState w:spelling="clean" w:grammar="clean"/>
  <w:defaultTabStop w:val="3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E6"/>
    <w:rsid w:val="0002054B"/>
    <w:rsid w:val="00143B2D"/>
    <w:rsid w:val="00253DA7"/>
    <w:rsid w:val="00261581"/>
    <w:rsid w:val="002C0B8E"/>
    <w:rsid w:val="00321CE9"/>
    <w:rsid w:val="003E1478"/>
    <w:rsid w:val="004D513A"/>
    <w:rsid w:val="005165B8"/>
    <w:rsid w:val="006514E6"/>
    <w:rsid w:val="006765A4"/>
    <w:rsid w:val="006919BB"/>
    <w:rsid w:val="006C2AD5"/>
    <w:rsid w:val="00720EF0"/>
    <w:rsid w:val="00745E5B"/>
    <w:rsid w:val="008A6C62"/>
    <w:rsid w:val="008C3E24"/>
    <w:rsid w:val="009602B0"/>
    <w:rsid w:val="0097164B"/>
    <w:rsid w:val="00A91568"/>
    <w:rsid w:val="00AA4206"/>
    <w:rsid w:val="00AA4E08"/>
    <w:rsid w:val="00AF63D6"/>
    <w:rsid w:val="00DC0BFE"/>
    <w:rsid w:val="00E31BDA"/>
    <w:rsid w:val="00EE3860"/>
    <w:rsid w:val="00EF1778"/>
    <w:rsid w:val="00FB1EE6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237"/>
  <w15:docId w15:val="{02517DA7-5EF0-4FA2-8E7A-91D95892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DB"/>
    <w:pPr>
      <w:suppressAutoHyphens/>
    </w:pPr>
    <w:rPr>
      <w:color w:val="00000A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qFormat/>
    <w:rsid w:val="00C623DB"/>
    <w:pPr>
      <w:tabs>
        <w:tab w:val="left" w:pos="0"/>
      </w:tabs>
      <w:spacing w:before="280" w:after="280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WW8Num1z0">
    <w:name w:val="WW8Num1z0"/>
    <w:qFormat/>
    <w:rsid w:val="00C623DB"/>
  </w:style>
  <w:style w:type="character" w:customStyle="1" w:styleId="WW8Num1z1">
    <w:name w:val="WW8Num1z1"/>
    <w:qFormat/>
    <w:rsid w:val="00C623DB"/>
  </w:style>
  <w:style w:type="character" w:customStyle="1" w:styleId="WW8Num1z2">
    <w:name w:val="WW8Num1z2"/>
    <w:qFormat/>
    <w:rsid w:val="00C623DB"/>
  </w:style>
  <w:style w:type="character" w:customStyle="1" w:styleId="WW8Num1z3">
    <w:name w:val="WW8Num1z3"/>
    <w:qFormat/>
    <w:rsid w:val="00C623DB"/>
  </w:style>
  <w:style w:type="character" w:customStyle="1" w:styleId="WW8Num1z4">
    <w:name w:val="WW8Num1z4"/>
    <w:qFormat/>
    <w:rsid w:val="00C623DB"/>
  </w:style>
  <w:style w:type="character" w:customStyle="1" w:styleId="WW8Num1z5">
    <w:name w:val="WW8Num1z5"/>
    <w:qFormat/>
    <w:rsid w:val="00C623DB"/>
  </w:style>
  <w:style w:type="character" w:customStyle="1" w:styleId="WW8Num1z6">
    <w:name w:val="WW8Num1z6"/>
    <w:qFormat/>
    <w:rsid w:val="00C623DB"/>
  </w:style>
  <w:style w:type="character" w:customStyle="1" w:styleId="WW8Num1z7">
    <w:name w:val="WW8Num1z7"/>
    <w:qFormat/>
    <w:rsid w:val="00C623DB"/>
  </w:style>
  <w:style w:type="character" w:customStyle="1" w:styleId="WW8Num1z8">
    <w:name w:val="WW8Num1z8"/>
    <w:qFormat/>
    <w:rsid w:val="00C623DB"/>
  </w:style>
  <w:style w:type="character" w:customStyle="1" w:styleId="1">
    <w:name w:val="Основной шрифт абзаца1"/>
    <w:qFormat/>
    <w:rsid w:val="00C623DB"/>
  </w:style>
  <w:style w:type="character" w:customStyle="1" w:styleId="rvts23">
    <w:name w:val="rvts23"/>
    <w:qFormat/>
    <w:rsid w:val="00C623DB"/>
  </w:style>
  <w:style w:type="character" w:styleId="a3">
    <w:name w:val="Strong"/>
    <w:uiPriority w:val="22"/>
    <w:qFormat/>
    <w:rsid w:val="00716CF2"/>
    <w:rPr>
      <w:b/>
      <w:bCs/>
    </w:rPr>
  </w:style>
  <w:style w:type="character" w:customStyle="1" w:styleId="-">
    <w:name w:val="Интернет-ссылка"/>
    <w:uiPriority w:val="99"/>
    <w:unhideWhenUsed/>
    <w:rsid w:val="00716CF2"/>
    <w:rPr>
      <w:color w:val="0000FF"/>
      <w:u w:val="single"/>
    </w:rPr>
  </w:style>
  <w:style w:type="paragraph" w:customStyle="1" w:styleId="10">
    <w:name w:val="Заголовок1"/>
    <w:basedOn w:val="a"/>
    <w:next w:val="a4"/>
    <w:qFormat/>
    <w:rsid w:val="006514E6"/>
    <w:pPr>
      <w:keepNext/>
      <w:spacing w:before="240" w:after="120"/>
    </w:pPr>
    <w:rPr>
      <w:rFonts w:ascii="Liberation Sans" w:eastAsia="Lucida Sans Unicode" w:hAnsi="Liberation Sans" w:cs="Lohit Devanagari"/>
      <w:sz w:val="28"/>
      <w:szCs w:val="28"/>
    </w:rPr>
  </w:style>
  <w:style w:type="paragraph" w:styleId="a4">
    <w:name w:val="Body Text"/>
    <w:basedOn w:val="a"/>
    <w:rsid w:val="00C623DB"/>
    <w:pPr>
      <w:spacing w:after="140" w:line="288" w:lineRule="auto"/>
    </w:pPr>
  </w:style>
  <w:style w:type="paragraph" w:styleId="a5">
    <w:name w:val="List"/>
    <w:basedOn w:val="a4"/>
    <w:rsid w:val="00C623DB"/>
    <w:rPr>
      <w:rFonts w:cs="FreeSans"/>
    </w:rPr>
  </w:style>
  <w:style w:type="paragraph" w:customStyle="1" w:styleId="11">
    <w:name w:val="Название объекта1"/>
    <w:basedOn w:val="a"/>
    <w:qFormat/>
    <w:rsid w:val="006514E6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6514E6"/>
    <w:pPr>
      <w:suppressLineNumbers/>
    </w:pPr>
    <w:rPr>
      <w:rFonts w:cs="Lohit Devanagari"/>
    </w:rPr>
  </w:style>
  <w:style w:type="paragraph" w:styleId="a7">
    <w:name w:val="Title"/>
    <w:basedOn w:val="a"/>
    <w:qFormat/>
    <w:rsid w:val="00C623DB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8">
    <w:name w:val="caption"/>
    <w:basedOn w:val="a"/>
    <w:qFormat/>
    <w:rsid w:val="00C623DB"/>
    <w:pPr>
      <w:suppressLineNumbers/>
      <w:spacing w:before="120" w:after="120"/>
    </w:pPr>
    <w:rPr>
      <w:rFonts w:cs="FreeSans"/>
      <w:i/>
      <w:iCs/>
    </w:rPr>
  </w:style>
  <w:style w:type="paragraph" w:customStyle="1" w:styleId="12">
    <w:name w:val="Указатель1"/>
    <w:basedOn w:val="a"/>
    <w:qFormat/>
    <w:rsid w:val="00C623DB"/>
    <w:pPr>
      <w:suppressLineNumbers/>
    </w:pPr>
    <w:rPr>
      <w:rFonts w:cs="FreeSans"/>
    </w:rPr>
  </w:style>
  <w:style w:type="paragraph" w:customStyle="1" w:styleId="a9">
    <w:name w:val="Содержимое таблицы"/>
    <w:basedOn w:val="a"/>
    <w:qFormat/>
    <w:rsid w:val="00C623DB"/>
    <w:pPr>
      <w:suppressLineNumbers/>
    </w:pPr>
  </w:style>
  <w:style w:type="paragraph" w:customStyle="1" w:styleId="aa">
    <w:name w:val="Заголовок таблицы"/>
    <w:basedOn w:val="a9"/>
    <w:qFormat/>
    <w:rsid w:val="00C623DB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rsid w:val="00C623DB"/>
    <w:pPr>
      <w:suppressLineNumbers/>
      <w:tabs>
        <w:tab w:val="center" w:pos="4972"/>
        <w:tab w:val="right" w:pos="9945"/>
      </w:tabs>
    </w:pPr>
  </w:style>
  <w:style w:type="paragraph" w:styleId="ab">
    <w:name w:val="No Spacing"/>
    <w:uiPriority w:val="1"/>
    <w:qFormat/>
    <w:rsid w:val="00740D6F"/>
    <w:rPr>
      <w:rFonts w:ascii="Calibri" w:eastAsia="Calibri" w:hAnsi="Calibri"/>
      <w:color w:val="00000A"/>
      <w:sz w:val="22"/>
      <w:szCs w:val="22"/>
      <w:lang w:val="ru-RU" w:eastAsia="en-US"/>
    </w:rPr>
  </w:style>
  <w:style w:type="paragraph" w:styleId="ac">
    <w:name w:val="Normal (Web)"/>
    <w:basedOn w:val="a"/>
    <w:uiPriority w:val="99"/>
    <w:unhideWhenUsed/>
    <w:qFormat/>
    <w:rsid w:val="005E3F28"/>
    <w:pPr>
      <w:suppressAutoHyphens w:val="0"/>
      <w:spacing w:beforeAutospacing="1" w:afterAutospacing="1"/>
    </w:pPr>
    <w:rPr>
      <w:lang w:eastAsia="ru-RU"/>
    </w:rPr>
  </w:style>
  <w:style w:type="table" w:styleId="ad">
    <w:name w:val="Table Grid"/>
    <w:basedOn w:val="a1"/>
    <w:uiPriority w:val="59"/>
    <w:rsid w:val="0064433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4882</Words>
  <Characters>2784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 Володимирівна Мороз</cp:lastModifiedBy>
  <cp:revision>3</cp:revision>
  <cp:lastPrinted>2020-07-15T07:47:00Z</cp:lastPrinted>
  <dcterms:created xsi:type="dcterms:W3CDTF">2021-11-08T12:35:00Z</dcterms:created>
  <dcterms:modified xsi:type="dcterms:W3CDTF">2021-11-11T11:14:00Z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