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3F" w:rsidRDefault="0007013F" w:rsidP="00200E59">
      <w:pPr>
        <w:jc w:val="center"/>
        <w:rPr>
          <w:b/>
          <w:sz w:val="28"/>
          <w:szCs w:val="28"/>
          <w:lang w:val="ru-RU"/>
        </w:rPr>
      </w:pPr>
    </w:p>
    <w:p w:rsidR="00E04F47" w:rsidRDefault="00E04F47" w:rsidP="00012F91">
      <w:pPr>
        <w:jc w:val="center"/>
        <w:rPr>
          <w:b/>
          <w:sz w:val="28"/>
          <w:szCs w:val="28"/>
        </w:rPr>
      </w:pPr>
      <w:r>
        <w:rPr>
          <w:b/>
          <w:sz w:val="28"/>
          <w:szCs w:val="28"/>
        </w:rPr>
        <w:t>Звіт</w:t>
      </w:r>
    </w:p>
    <w:p w:rsidR="00012F91" w:rsidRDefault="00012F91" w:rsidP="00012F91">
      <w:pPr>
        <w:jc w:val="center"/>
        <w:rPr>
          <w:b/>
          <w:sz w:val="28"/>
          <w:szCs w:val="28"/>
        </w:rPr>
      </w:pPr>
      <w:r>
        <w:rPr>
          <w:b/>
          <w:sz w:val="28"/>
          <w:szCs w:val="28"/>
        </w:rPr>
        <w:t>про періодичне відстеження результативності</w:t>
      </w:r>
    </w:p>
    <w:p w:rsidR="00012F91" w:rsidRDefault="00012F91" w:rsidP="00012F91">
      <w:pPr>
        <w:jc w:val="center"/>
        <w:rPr>
          <w:b/>
          <w:sz w:val="28"/>
          <w:szCs w:val="28"/>
        </w:rPr>
      </w:pPr>
      <w:r>
        <w:rPr>
          <w:b/>
          <w:sz w:val="28"/>
          <w:szCs w:val="28"/>
        </w:rPr>
        <w:t>регуляторного акт</w:t>
      </w:r>
      <w:r w:rsidR="00E04F47">
        <w:rPr>
          <w:b/>
          <w:sz w:val="28"/>
          <w:szCs w:val="28"/>
        </w:rPr>
        <w:t xml:space="preserve">а  ̶  </w:t>
      </w:r>
      <w:r>
        <w:rPr>
          <w:b/>
          <w:sz w:val="28"/>
          <w:szCs w:val="28"/>
        </w:rPr>
        <w:t>рішення міської ради</w:t>
      </w:r>
    </w:p>
    <w:p w:rsidR="00012F91" w:rsidRDefault="003B4685" w:rsidP="00012F91">
      <w:pPr>
        <w:jc w:val="center"/>
        <w:rPr>
          <w:b/>
          <w:sz w:val="28"/>
          <w:szCs w:val="28"/>
        </w:rPr>
      </w:pPr>
      <w:r>
        <w:rPr>
          <w:b/>
          <w:sz w:val="28"/>
          <w:szCs w:val="28"/>
        </w:rPr>
        <w:t>від 1</w:t>
      </w:r>
      <w:r w:rsidR="00012F91">
        <w:rPr>
          <w:b/>
          <w:sz w:val="28"/>
          <w:szCs w:val="28"/>
        </w:rPr>
        <w:t>5.0</w:t>
      </w:r>
      <w:r>
        <w:rPr>
          <w:b/>
          <w:sz w:val="28"/>
          <w:szCs w:val="28"/>
        </w:rPr>
        <w:t>7</w:t>
      </w:r>
      <w:r w:rsidR="00012F91">
        <w:rPr>
          <w:b/>
          <w:sz w:val="28"/>
          <w:szCs w:val="28"/>
        </w:rPr>
        <w:t>.201</w:t>
      </w:r>
      <w:r>
        <w:rPr>
          <w:b/>
          <w:sz w:val="28"/>
          <w:szCs w:val="28"/>
        </w:rPr>
        <w:t>5</w:t>
      </w:r>
      <w:r w:rsidR="00012F91">
        <w:rPr>
          <w:b/>
          <w:sz w:val="28"/>
          <w:szCs w:val="28"/>
        </w:rPr>
        <w:t xml:space="preserve"> № </w:t>
      </w:r>
      <w:r>
        <w:rPr>
          <w:b/>
          <w:sz w:val="28"/>
          <w:szCs w:val="28"/>
        </w:rPr>
        <w:t>4</w:t>
      </w:r>
      <w:r w:rsidR="00012F91">
        <w:rPr>
          <w:b/>
          <w:sz w:val="28"/>
          <w:szCs w:val="28"/>
        </w:rPr>
        <w:t>/</w:t>
      </w:r>
      <w:r>
        <w:rPr>
          <w:b/>
          <w:sz w:val="28"/>
          <w:szCs w:val="28"/>
        </w:rPr>
        <w:t>65</w:t>
      </w:r>
      <w:r w:rsidR="00E04F47">
        <w:rPr>
          <w:b/>
          <w:sz w:val="28"/>
          <w:szCs w:val="28"/>
        </w:rPr>
        <w:t xml:space="preserve"> </w:t>
      </w:r>
      <w:r w:rsidR="00012F91">
        <w:rPr>
          <w:b/>
          <w:sz w:val="28"/>
          <w:szCs w:val="28"/>
        </w:rPr>
        <w:t>«</w:t>
      </w:r>
      <w:r>
        <w:rPr>
          <w:b/>
          <w:sz w:val="28"/>
          <w:szCs w:val="28"/>
        </w:rPr>
        <w:t>Про затвердження нормативної грошової оцінки земель м. Дніпропетровська»</w:t>
      </w:r>
      <w:r w:rsidR="00E04F47">
        <w:rPr>
          <w:b/>
          <w:sz w:val="28"/>
          <w:szCs w:val="28"/>
        </w:rPr>
        <w:t xml:space="preserve"> </w:t>
      </w:r>
      <w:r w:rsidR="00012F91">
        <w:rPr>
          <w:b/>
          <w:sz w:val="28"/>
          <w:szCs w:val="28"/>
        </w:rPr>
        <w:t>(зі змінами)</w:t>
      </w:r>
    </w:p>
    <w:p w:rsidR="00012F91" w:rsidRDefault="00012F91" w:rsidP="00012F91">
      <w:pPr>
        <w:jc w:val="center"/>
        <w:rPr>
          <w:b/>
          <w:sz w:val="28"/>
          <w:szCs w:val="28"/>
        </w:rPr>
      </w:pPr>
    </w:p>
    <w:p w:rsidR="00711B6D" w:rsidRDefault="00711B6D" w:rsidP="00012F91">
      <w:pPr>
        <w:jc w:val="center"/>
        <w:rPr>
          <w:b/>
          <w:sz w:val="28"/>
          <w:szCs w:val="28"/>
        </w:rPr>
      </w:pPr>
    </w:p>
    <w:p w:rsidR="00711B6D" w:rsidRDefault="00012F91" w:rsidP="00012F91">
      <w:pPr>
        <w:ind w:firstLine="708"/>
        <w:jc w:val="both"/>
        <w:rPr>
          <w:b/>
          <w:sz w:val="28"/>
          <w:szCs w:val="28"/>
        </w:rPr>
      </w:pPr>
      <w:r>
        <w:rPr>
          <w:b/>
          <w:sz w:val="28"/>
          <w:szCs w:val="28"/>
        </w:rPr>
        <w:t xml:space="preserve">1. </w:t>
      </w:r>
      <w:r w:rsidR="00711B6D">
        <w:rPr>
          <w:b/>
          <w:sz w:val="28"/>
          <w:szCs w:val="28"/>
        </w:rPr>
        <w:t xml:space="preserve">Вид та назва регуляторного </w:t>
      </w:r>
      <w:proofErr w:type="spellStart"/>
      <w:r w:rsidR="00711B6D">
        <w:rPr>
          <w:b/>
          <w:sz w:val="28"/>
          <w:szCs w:val="28"/>
        </w:rPr>
        <w:t>акта</w:t>
      </w:r>
      <w:proofErr w:type="spellEnd"/>
    </w:p>
    <w:p w:rsidR="00012F91" w:rsidRPr="003B4685" w:rsidRDefault="00711B6D" w:rsidP="00012F91">
      <w:pPr>
        <w:ind w:firstLine="708"/>
        <w:jc w:val="both"/>
        <w:rPr>
          <w:sz w:val="28"/>
          <w:szCs w:val="28"/>
        </w:rPr>
      </w:pPr>
      <w:r>
        <w:rPr>
          <w:sz w:val="28"/>
          <w:szCs w:val="28"/>
        </w:rPr>
        <w:t>Р</w:t>
      </w:r>
      <w:r w:rsidR="00012F91">
        <w:rPr>
          <w:sz w:val="28"/>
          <w:szCs w:val="28"/>
        </w:rPr>
        <w:t xml:space="preserve">ішення міської </w:t>
      </w:r>
      <w:r w:rsidR="00012F91" w:rsidRPr="003B4685">
        <w:rPr>
          <w:sz w:val="28"/>
          <w:szCs w:val="28"/>
        </w:rPr>
        <w:t xml:space="preserve">ради від </w:t>
      </w:r>
      <w:r w:rsidR="003B4685" w:rsidRPr="003B4685">
        <w:rPr>
          <w:sz w:val="28"/>
          <w:szCs w:val="28"/>
        </w:rPr>
        <w:t>15.07.2015 № 4/65 «Про затвердження нормат</w:t>
      </w:r>
      <w:r w:rsidR="003B4685">
        <w:rPr>
          <w:sz w:val="28"/>
          <w:szCs w:val="28"/>
        </w:rPr>
        <w:t>ив</w:t>
      </w:r>
      <w:r>
        <w:rPr>
          <w:sz w:val="28"/>
          <w:szCs w:val="28"/>
        </w:rPr>
        <w:t>-</w:t>
      </w:r>
      <w:proofErr w:type="spellStart"/>
      <w:r w:rsidR="003B4685">
        <w:rPr>
          <w:sz w:val="28"/>
          <w:szCs w:val="28"/>
        </w:rPr>
        <w:t>ної</w:t>
      </w:r>
      <w:proofErr w:type="spellEnd"/>
      <w:r w:rsidR="003B4685">
        <w:rPr>
          <w:sz w:val="28"/>
          <w:szCs w:val="28"/>
        </w:rPr>
        <w:t xml:space="preserve"> грошової оцінки земель м. </w:t>
      </w:r>
      <w:r w:rsidR="003B4685" w:rsidRPr="003B4685">
        <w:rPr>
          <w:sz w:val="28"/>
          <w:szCs w:val="28"/>
        </w:rPr>
        <w:t>Дніпропетровська» (зі змінами)</w:t>
      </w:r>
      <w:r w:rsidR="00012F91" w:rsidRPr="003B4685">
        <w:rPr>
          <w:sz w:val="28"/>
          <w:szCs w:val="28"/>
        </w:rPr>
        <w:t>.</w:t>
      </w:r>
    </w:p>
    <w:p w:rsidR="00012F91" w:rsidRDefault="00012F91" w:rsidP="00012F91">
      <w:pPr>
        <w:jc w:val="center"/>
        <w:rPr>
          <w:sz w:val="28"/>
          <w:szCs w:val="28"/>
        </w:rPr>
      </w:pPr>
    </w:p>
    <w:p w:rsidR="00711B6D" w:rsidRDefault="00012F91" w:rsidP="00012F91">
      <w:pPr>
        <w:ind w:firstLine="708"/>
        <w:jc w:val="both"/>
        <w:rPr>
          <w:b/>
          <w:sz w:val="28"/>
          <w:szCs w:val="28"/>
        </w:rPr>
      </w:pPr>
      <w:r>
        <w:rPr>
          <w:b/>
          <w:sz w:val="28"/>
          <w:szCs w:val="28"/>
          <w:lang w:val="ru-RU"/>
        </w:rPr>
        <w:t xml:space="preserve">2. </w:t>
      </w:r>
      <w:r>
        <w:rPr>
          <w:b/>
          <w:sz w:val="28"/>
          <w:szCs w:val="28"/>
        </w:rPr>
        <w:t>В</w:t>
      </w:r>
      <w:r w:rsidR="00711B6D">
        <w:rPr>
          <w:b/>
          <w:sz w:val="28"/>
          <w:szCs w:val="28"/>
        </w:rPr>
        <w:t>иконавець заходів з відстеження</w:t>
      </w:r>
    </w:p>
    <w:p w:rsidR="00012F91" w:rsidRDefault="00711B6D" w:rsidP="00012F91">
      <w:pPr>
        <w:ind w:firstLine="708"/>
        <w:jc w:val="both"/>
        <w:rPr>
          <w:sz w:val="28"/>
          <w:szCs w:val="28"/>
        </w:rPr>
      </w:pPr>
      <w:r w:rsidRPr="00711B6D">
        <w:rPr>
          <w:sz w:val="28"/>
          <w:szCs w:val="28"/>
        </w:rPr>
        <w:t>Д</w:t>
      </w:r>
      <w:r w:rsidR="00012F91">
        <w:rPr>
          <w:sz w:val="28"/>
          <w:szCs w:val="28"/>
        </w:rPr>
        <w:t>епартамент</w:t>
      </w:r>
      <w:r w:rsidR="003B4685">
        <w:rPr>
          <w:sz w:val="28"/>
          <w:szCs w:val="28"/>
        </w:rPr>
        <w:t xml:space="preserve"> по роботі з активами </w:t>
      </w:r>
      <w:r w:rsidR="00012F91">
        <w:rPr>
          <w:sz w:val="28"/>
          <w:szCs w:val="28"/>
        </w:rPr>
        <w:t xml:space="preserve">Дніпровської </w:t>
      </w:r>
      <w:r w:rsidR="00012F91">
        <w:rPr>
          <w:color w:val="000000"/>
          <w:spacing w:val="1"/>
          <w:sz w:val="28"/>
          <w:szCs w:val="28"/>
        </w:rPr>
        <w:t>міської ради</w:t>
      </w:r>
      <w:r w:rsidR="00012F91">
        <w:rPr>
          <w:sz w:val="28"/>
          <w:szCs w:val="28"/>
        </w:rPr>
        <w:t>.</w:t>
      </w:r>
    </w:p>
    <w:p w:rsidR="00012F91" w:rsidRDefault="00012F91" w:rsidP="00012F91">
      <w:pPr>
        <w:pStyle w:val="a6"/>
        <w:spacing w:line="300" w:lineRule="exact"/>
        <w:ind w:firstLine="709"/>
        <w:rPr>
          <w:b/>
          <w:szCs w:val="28"/>
          <w:lang w:val="ru-RU"/>
        </w:rPr>
      </w:pPr>
    </w:p>
    <w:p w:rsidR="00711B6D" w:rsidRDefault="00012F91" w:rsidP="00012F91">
      <w:pPr>
        <w:pStyle w:val="a6"/>
        <w:spacing w:line="300" w:lineRule="exact"/>
        <w:ind w:firstLine="708"/>
        <w:rPr>
          <w:b/>
          <w:szCs w:val="28"/>
        </w:rPr>
      </w:pPr>
      <w:r>
        <w:rPr>
          <w:b/>
          <w:szCs w:val="28"/>
          <w:lang w:val="ru-RU"/>
        </w:rPr>
        <w:t xml:space="preserve">3. </w:t>
      </w:r>
      <w:r w:rsidR="00711B6D">
        <w:rPr>
          <w:b/>
          <w:szCs w:val="28"/>
        </w:rPr>
        <w:t xml:space="preserve">Цілі прийняття </w:t>
      </w:r>
      <w:proofErr w:type="spellStart"/>
      <w:r w:rsidR="00711B6D">
        <w:rPr>
          <w:b/>
          <w:szCs w:val="28"/>
        </w:rPr>
        <w:t>акта</w:t>
      </w:r>
      <w:proofErr w:type="spellEnd"/>
      <w:r>
        <w:rPr>
          <w:b/>
          <w:szCs w:val="28"/>
        </w:rPr>
        <w:t xml:space="preserve"> </w:t>
      </w:r>
    </w:p>
    <w:p w:rsidR="00012F91" w:rsidRDefault="00711B6D" w:rsidP="00012F91">
      <w:pPr>
        <w:pStyle w:val="a6"/>
        <w:spacing w:line="300" w:lineRule="exact"/>
        <w:ind w:firstLine="708"/>
        <w:rPr>
          <w:szCs w:val="28"/>
        </w:rPr>
      </w:pPr>
      <w:r w:rsidRPr="00711B6D">
        <w:rPr>
          <w:szCs w:val="28"/>
        </w:rPr>
        <w:t>О</w:t>
      </w:r>
      <w:r w:rsidR="00012F91">
        <w:rPr>
          <w:szCs w:val="28"/>
        </w:rPr>
        <w:t xml:space="preserve">сновними цілями прийняття регуляторного акта є: </w:t>
      </w:r>
    </w:p>
    <w:p w:rsidR="003B4685" w:rsidRDefault="00012F91" w:rsidP="00012F91">
      <w:pPr>
        <w:ind w:firstLine="709"/>
        <w:jc w:val="both"/>
        <w:rPr>
          <w:sz w:val="28"/>
          <w:szCs w:val="28"/>
        </w:rPr>
      </w:pPr>
      <w:r>
        <w:rPr>
          <w:sz w:val="28"/>
          <w:szCs w:val="28"/>
        </w:rPr>
        <w:t>-</w:t>
      </w:r>
      <w:r w:rsidR="003B4685">
        <w:rPr>
          <w:sz w:val="28"/>
          <w:szCs w:val="28"/>
        </w:rPr>
        <w:t xml:space="preserve"> </w:t>
      </w:r>
      <w:r w:rsidR="007F695F">
        <w:rPr>
          <w:sz w:val="28"/>
          <w:szCs w:val="28"/>
        </w:rPr>
        <w:t xml:space="preserve">визначення механізму </w:t>
      </w:r>
      <w:r w:rsidR="003B4685">
        <w:rPr>
          <w:sz w:val="28"/>
          <w:szCs w:val="28"/>
        </w:rPr>
        <w:t>введення в дію нормативної грошової оцінки земель м. Дніпра;</w:t>
      </w:r>
      <w:r>
        <w:rPr>
          <w:sz w:val="28"/>
          <w:szCs w:val="28"/>
        </w:rPr>
        <w:t xml:space="preserve"> </w:t>
      </w:r>
    </w:p>
    <w:p w:rsidR="00012F91" w:rsidRDefault="00012F91" w:rsidP="00D80703">
      <w:pPr>
        <w:ind w:firstLine="709"/>
        <w:jc w:val="both"/>
        <w:rPr>
          <w:sz w:val="28"/>
          <w:szCs w:val="28"/>
        </w:rPr>
      </w:pPr>
      <w:r>
        <w:rPr>
          <w:sz w:val="28"/>
          <w:szCs w:val="28"/>
        </w:rPr>
        <w:t xml:space="preserve">- </w:t>
      </w:r>
      <w:r w:rsidR="007F695F">
        <w:rPr>
          <w:sz w:val="28"/>
          <w:szCs w:val="28"/>
        </w:rPr>
        <w:t xml:space="preserve">врегулювання правовідносин між комунальним власником на землю (територіальною громадою м. Дніпра в особі Дніпровської міської ради) та суб’єктами земельних відносин; </w:t>
      </w:r>
    </w:p>
    <w:p w:rsidR="007F695F" w:rsidRPr="00D80703" w:rsidRDefault="007F695F" w:rsidP="00D80703">
      <w:pPr>
        <w:ind w:firstLine="709"/>
        <w:jc w:val="both"/>
        <w:rPr>
          <w:sz w:val="28"/>
          <w:szCs w:val="28"/>
        </w:rPr>
      </w:pPr>
      <w:r>
        <w:rPr>
          <w:sz w:val="28"/>
          <w:szCs w:val="28"/>
        </w:rPr>
        <w:t>- стимулювання ефективного та раціонального використання землі на засадах ринкової економіки;</w:t>
      </w:r>
    </w:p>
    <w:p w:rsidR="00012F91" w:rsidRDefault="00012F91" w:rsidP="00012F91">
      <w:pPr>
        <w:ind w:firstLine="709"/>
        <w:jc w:val="both"/>
        <w:rPr>
          <w:sz w:val="28"/>
          <w:szCs w:val="28"/>
        </w:rPr>
      </w:pPr>
      <w:r>
        <w:rPr>
          <w:sz w:val="28"/>
          <w:szCs w:val="28"/>
        </w:rPr>
        <w:t xml:space="preserve">- </w:t>
      </w:r>
      <w:r w:rsidR="00D80703">
        <w:rPr>
          <w:sz w:val="28"/>
          <w:szCs w:val="28"/>
        </w:rPr>
        <w:t>задоволення інтересів держави та територіальної громади, можливість направлення додаткових коштів на здійснення програм соціально-економічного розвитку, збільшення фінансування соціальної сфери</w:t>
      </w:r>
      <w:r>
        <w:rPr>
          <w:sz w:val="28"/>
          <w:szCs w:val="28"/>
        </w:rPr>
        <w:t>.</w:t>
      </w:r>
    </w:p>
    <w:p w:rsidR="00012F91" w:rsidRPr="00D80703" w:rsidRDefault="00012F91" w:rsidP="00012F91">
      <w:pPr>
        <w:ind w:firstLine="709"/>
        <w:jc w:val="both"/>
        <w:rPr>
          <w:b/>
          <w:sz w:val="28"/>
          <w:szCs w:val="28"/>
        </w:rPr>
      </w:pPr>
    </w:p>
    <w:p w:rsidR="00711B6D" w:rsidRDefault="00012F91" w:rsidP="00012F91">
      <w:pPr>
        <w:ind w:firstLine="708"/>
        <w:rPr>
          <w:b/>
          <w:sz w:val="28"/>
          <w:szCs w:val="28"/>
        </w:rPr>
      </w:pPr>
      <w:r>
        <w:rPr>
          <w:b/>
          <w:sz w:val="28"/>
          <w:szCs w:val="28"/>
        </w:rPr>
        <w:t xml:space="preserve">4. Строк </w:t>
      </w:r>
      <w:r w:rsidR="00711B6D">
        <w:rPr>
          <w:b/>
          <w:sz w:val="28"/>
          <w:szCs w:val="28"/>
        </w:rPr>
        <w:t>виконання заходів з відстеження</w:t>
      </w:r>
      <w:r>
        <w:rPr>
          <w:b/>
          <w:sz w:val="28"/>
          <w:szCs w:val="28"/>
        </w:rPr>
        <w:t xml:space="preserve"> </w:t>
      </w:r>
    </w:p>
    <w:p w:rsidR="00012F91" w:rsidRDefault="00711B6D" w:rsidP="00012F91">
      <w:pPr>
        <w:ind w:firstLine="708"/>
        <w:rPr>
          <w:sz w:val="28"/>
          <w:szCs w:val="28"/>
        </w:rPr>
      </w:pPr>
      <w:r>
        <w:rPr>
          <w:sz w:val="28"/>
          <w:szCs w:val="28"/>
        </w:rPr>
        <w:t>З</w:t>
      </w:r>
      <w:r w:rsidR="00A652AB">
        <w:rPr>
          <w:sz w:val="28"/>
          <w:szCs w:val="28"/>
        </w:rPr>
        <w:t xml:space="preserve"> </w:t>
      </w:r>
      <w:r w:rsidR="00012F91">
        <w:rPr>
          <w:sz w:val="28"/>
          <w:szCs w:val="28"/>
        </w:rPr>
        <w:t>0</w:t>
      </w:r>
      <w:r w:rsidR="00DD4E12">
        <w:rPr>
          <w:sz w:val="28"/>
          <w:szCs w:val="28"/>
        </w:rPr>
        <w:t>5</w:t>
      </w:r>
      <w:r w:rsidR="00012F91">
        <w:rPr>
          <w:sz w:val="28"/>
          <w:szCs w:val="28"/>
        </w:rPr>
        <w:t>.0</w:t>
      </w:r>
      <w:r w:rsidR="00DD4E12">
        <w:rPr>
          <w:sz w:val="28"/>
          <w:szCs w:val="28"/>
        </w:rPr>
        <w:t>7</w:t>
      </w:r>
      <w:r w:rsidR="00012F91">
        <w:rPr>
          <w:sz w:val="28"/>
          <w:szCs w:val="28"/>
        </w:rPr>
        <w:t xml:space="preserve">.2019 по </w:t>
      </w:r>
      <w:r w:rsidR="00622E27">
        <w:rPr>
          <w:sz w:val="28"/>
          <w:szCs w:val="28"/>
        </w:rPr>
        <w:t>1</w:t>
      </w:r>
      <w:r w:rsidR="00DD4E12">
        <w:rPr>
          <w:sz w:val="28"/>
          <w:szCs w:val="28"/>
        </w:rPr>
        <w:t>5</w:t>
      </w:r>
      <w:r w:rsidR="00012F91">
        <w:rPr>
          <w:sz w:val="28"/>
          <w:szCs w:val="28"/>
          <w:lang w:val="ru-RU"/>
        </w:rPr>
        <w:t>.0</w:t>
      </w:r>
      <w:r w:rsidR="00DD4E12">
        <w:rPr>
          <w:sz w:val="28"/>
          <w:szCs w:val="28"/>
          <w:lang w:val="ru-RU"/>
        </w:rPr>
        <w:t>7</w:t>
      </w:r>
      <w:r w:rsidR="00012F91">
        <w:rPr>
          <w:sz w:val="28"/>
          <w:szCs w:val="28"/>
          <w:lang w:val="ru-RU"/>
        </w:rPr>
        <w:t>.2019</w:t>
      </w:r>
      <w:r w:rsidR="00012F91">
        <w:rPr>
          <w:sz w:val="28"/>
          <w:szCs w:val="28"/>
        </w:rPr>
        <w:t>.</w:t>
      </w:r>
    </w:p>
    <w:p w:rsidR="00012F91" w:rsidRDefault="00012F91" w:rsidP="00012F91">
      <w:pPr>
        <w:ind w:firstLine="709"/>
        <w:jc w:val="both"/>
        <w:rPr>
          <w:b/>
          <w:sz w:val="28"/>
          <w:szCs w:val="28"/>
          <w:lang w:val="ru-RU"/>
        </w:rPr>
      </w:pPr>
    </w:p>
    <w:p w:rsidR="00711B6D" w:rsidRDefault="00711B6D" w:rsidP="00012F91">
      <w:pPr>
        <w:ind w:firstLine="708"/>
        <w:rPr>
          <w:b/>
          <w:sz w:val="28"/>
          <w:szCs w:val="28"/>
        </w:rPr>
      </w:pPr>
      <w:r>
        <w:rPr>
          <w:b/>
          <w:sz w:val="28"/>
          <w:szCs w:val="28"/>
        </w:rPr>
        <w:t>5. Тип відстеження</w:t>
      </w:r>
    </w:p>
    <w:p w:rsidR="00012F91" w:rsidRDefault="00012F91" w:rsidP="00012F91">
      <w:pPr>
        <w:ind w:firstLine="708"/>
        <w:rPr>
          <w:sz w:val="28"/>
          <w:szCs w:val="28"/>
        </w:rPr>
      </w:pPr>
      <w:r>
        <w:rPr>
          <w:b/>
          <w:sz w:val="28"/>
          <w:szCs w:val="28"/>
        </w:rPr>
        <w:t xml:space="preserve"> </w:t>
      </w:r>
      <w:r w:rsidR="00711B6D" w:rsidRPr="00711B6D">
        <w:rPr>
          <w:sz w:val="28"/>
          <w:szCs w:val="28"/>
        </w:rPr>
        <w:t>П</w:t>
      </w:r>
      <w:r>
        <w:rPr>
          <w:sz w:val="28"/>
          <w:szCs w:val="28"/>
        </w:rPr>
        <w:t>еріодичне.</w:t>
      </w:r>
    </w:p>
    <w:p w:rsidR="00012F91" w:rsidRDefault="00012F91" w:rsidP="00012F91">
      <w:pPr>
        <w:ind w:firstLine="709"/>
        <w:jc w:val="both"/>
        <w:rPr>
          <w:b/>
          <w:sz w:val="28"/>
          <w:szCs w:val="28"/>
          <w:lang w:val="ru-RU"/>
        </w:rPr>
      </w:pPr>
    </w:p>
    <w:p w:rsidR="00711B6D" w:rsidRDefault="00012F91" w:rsidP="00012F91">
      <w:pPr>
        <w:ind w:firstLine="708"/>
        <w:jc w:val="both"/>
        <w:rPr>
          <w:b/>
          <w:sz w:val="28"/>
          <w:szCs w:val="28"/>
        </w:rPr>
      </w:pPr>
      <w:r>
        <w:rPr>
          <w:b/>
          <w:sz w:val="28"/>
          <w:szCs w:val="28"/>
        </w:rPr>
        <w:t>6. Методи од</w:t>
      </w:r>
      <w:r w:rsidR="00711B6D">
        <w:rPr>
          <w:b/>
          <w:sz w:val="28"/>
          <w:szCs w:val="28"/>
        </w:rPr>
        <w:t>ержання результатів відстеження</w:t>
      </w:r>
      <w:r w:rsidR="00E04F47">
        <w:rPr>
          <w:b/>
          <w:sz w:val="28"/>
          <w:szCs w:val="28"/>
        </w:rPr>
        <w:t xml:space="preserve"> </w:t>
      </w:r>
    </w:p>
    <w:p w:rsidR="00012F91" w:rsidRDefault="00711B6D" w:rsidP="00012F91">
      <w:pPr>
        <w:ind w:firstLine="708"/>
        <w:jc w:val="both"/>
        <w:rPr>
          <w:sz w:val="28"/>
          <w:szCs w:val="28"/>
        </w:rPr>
      </w:pPr>
      <w:r w:rsidRPr="00711B6D">
        <w:rPr>
          <w:sz w:val="28"/>
          <w:szCs w:val="28"/>
        </w:rPr>
        <w:t>С</w:t>
      </w:r>
      <w:r w:rsidR="00012F91">
        <w:rPr>
          <w:sz w:val="28"/>
          <w:szCs w:val="28"/>
        </w:rPr>
        <w:t xml:space="preserve">татистичний та соціологічний методи. </w:t>
      </w:r>
    </w:p>
    <w:p w:rsidR="00012F91" w:rsidRDefault="00012F91" w:rsidP="00012F91">
      <w:pPr>
        <w:ind w:firstLine="709"/>
        <w:jc w:val="both"/>
        <w:rPr>
          <w:b/>
          <w:sz w:val="28"/>
          <w:szCs w:val="28"/>
          <w:lang w:val="ru-RU"/>
        </w:rPr>
      </w:pPr>
    </w:p>
    <w:p w:rsidR="00711B6D" w:rsidRDefault="00012F91" w:rsidP="00A4236D">
      <w:pPr>
        <w:ind w:firstLine="709"/>
        <w:jc w:val="both"/>
        <w:rPr>
          <w:b/>
          <w:sz w:val="28"/>
          <w:szCs w:val="28"/>
        </w:rPr>
      </w:pPr>
      <w:r>
        <w:rPr>
          <w:b/>
          <w:sz w:val="28"/>
          <w:szCs w:val="28"/>
        </w:rPr>
        <w:t xml:space="preserve">7. Дані та припущення, на основі яких відстежувалась результативність, а також способи одержання даних </w:t>
      </w:r>
    </w:p>
    <w:p w:rsidR="00012F91" w:rsidRPr="00A4236D" w:rsidRDefault="00711B6D" w:rsidP="00A4236D">
      <w:pPr>
        <w:ind w:firstLine="709"/>
        <w:jc w:val="both"/>
        <w:rPr>
          <w:sz w:val="28"/>
          <w:szCs w:val="28"/>
        </w:rPr>
      </w:pPr>
      <w:r>
        <w:rPr>
          <w:sz w:val="28"/>
          <w:szCs w:val="28"/>
        </w:rPr>
        <w:t>В</w:t>
      </w:r>
      <w:r w:rsidR="00012F91">
        <w:rPr>
          <w:sz w:val="28"/>
          <w:szCs w:val="28"/>
        </w:rPr>
        <w:t xml:space="preserve">ідстеження результативності регуляторного </w:t>
      </w:r>
      <w:proofErr w:type="spellStart"/>
      <w:r w:rsidR="00012F91">
        <w:rPr>
          <w:sz w:val="28"/>
          <w:szCs w:val="28"/>
        </w:rPr>
        <w:t>акта</w:t>
      </w:r>
      <w:proofErr w:type="spellEnd"/>
      <w:r w:rsidR="00012F91">
        <w:rPr>
          <w:sz w:val="28"/>
          <w:szCs w:val="28"/>
        </w:rPr>
        <w:t xml:space="preserve"> здійснено</w:t>
      </w:r>
      <w:r w:rsidR="00A652AB">
        <w:rPr>
          <w:sz w:val="28"/>
          <w:szCs w:val="28"/>
        </w:rPr>
        <w:t xml:space="preserve"> </w:t>
      </w:r>
      <w:r w:rsidR="00012F91">
        <w:rPr>
          <w:sz w:val="28"/>
          <w:szCs w:val="28"/>
        </w:rPr>
        <w:t xml:space="preserve">шляхом </w:t>
      </w:r>
      <w:r w:rsidR="00012F91" w:rsidRPr="00A4236D">
        <w:rPr>
          <w:sz w:val="28"/>
          <w:szCs w:val="28"/>
        </w:rPr>
        <w:t>аналізу інформації</w:t>
      </w:r>
      <w:r w:rsidR="00A4236D" w:rsidRPr="00A4236D">
        <w:rPr>
          <w:sz w:val="28"/>
          <w:szCs w:val="28"/>
        </w:rPr>
        <w:t xml:space="preserve"> про надходження до міського бюджету коштів від сплати земельного податку та орендної плати за земельні ділянки, наданої </w:t>
      </w:r>
      <w:r w:rsidR="00012F91" w:rsidRPr="00A4236D">
        <w:rPr>
          <w:sz w:val="28"/>
          <w:szCs w:val="28"/>
        </w:rPr>
        <w:t>департамент</w:t>
      </w:r>
      <w:r w:rsidR="00A4236D" w:rsidRPr="00A4236D">
        <w:rPr>
          <w:sz w:val="28"/>
          <w:szCs w:val="28"/>
        </w:rPr>
        <w:t>ом економіки, фінансів та міського бюджету</w:t>
      </w:r>
      <w:r w:rsidR="00012F91" w:rsidRPr="00A4236D">
        <w:rPr>
          <w:sz w:val="28"/>
          <w:szCs w:val="28"/>
        </w:rPr>
        <w:t xml:space="preserve"> Дніпровської міської ради.</w:t>
      </w:r>
    </w:p>
    <w:p w:rsidR="00A4236D" w:rsidRDefault="00A4236D" w:rsidP="00012F91">
      <w:pPr>
        <w:tabs>
          <w:tab w:val="left" w:pos="2310"/>
        </w:tabs>
        <w:ind w:firstLine="709"/>
        <w:jc w:val="both"/>
        <w:rPr>
          <w:b/>
          <w:sz w:val="28"/>
          <w:szCs w:val="28"/>
        </w:rPr>
      </w:pPr>
    </w:p>
    <w:p w:rsidR="00711B6D" w:rsidRDefault="00711B6D" w:rsidP="00A4236D">
      <w:pPr>
        <w:tabs>
          <w:tab w:val="left" w:pos="2310"/>
        </w:tabs>
        <w:ind w:firstLine="709"/>
        <w:jc w:val="both"/>
        <w:rPr>
          <w:b/>
          <w:sz w:val="28"/>
          <w:szCs w:val="28"/>
        </w:rPr>
      </w:pPr>
    </w:p>
    <w:p w:rsidR="00A4236D" w:rsidRDefault="00012F91" w:rsidP="00A4236D">
      <w:pPr>
        <w:tabs>
          <w:tab w:val="left" w:pos="2310"/>
        </w:tabs>
        <w:ind w:firstLine="709"/>
        <w:jc w:val="both"/>
        <w:rPr>
          <w:b/>
          <w:sz w:val="28"/>
          <w:szCs w:val="28"/>
        </w:rPr>
      </w:pPr>
      <w:r>
        <w:rPr>
          <w:b/>
          <w:sz w:val="28"/>
          <w:szCs w:val="28"/>
        </w:rPr>
        <w:lastRenderedPageBreak/>
        <w:t>8. Кількісні та якісні значення показників результати</w:t>
      </w:r>
      <w:r w:rsidR="00711B6D">
        <w:rPr>
          <w:b/>
          <w:sz w:val="28"/>
          <w:szCs w:val="28"/>
        </w:rPr>
        <w:t>вності</w:t>
      </w:r>
    </w:p>
    <w:p w:rsidR="00711B6D" w:rsidRDefault="00711B6D" w:rsidP="00A4236D">
      <w:pPr>
        <w:tabs>
          <w:tab w:val="left" w:pos="2310"/>
        </w:tabs>
        <w:ind w:firstLine="709"/>
        <w:jc w:val="both"/>
        <w:rPr>
          <w:b/>
          <w:sz w:val="28"/>
          <w:szCs w:val="28"/>
        </w:rPr>
      </w:pPr>
    </w:p>
    <w:p w:rsidR="00A16E93" w:rsidRPr="00A16E93" w:rsidRDefault="00A16E93" w:rsidP="00A16E93">
      <w:pPr>
        <w:tabs>
          <w:tab w:val="left" w:pos="2310"/>
        </w:tabs>
        <w:ind w:firstLine="709"/>
        <w:jc w:val="both"/>
        <w:rPr>
          <w:b/>
          <w:sz w:val="28"/>
          <w:szCs w:val="28"/>
        </w:rPr>
      </w:pPr>
      <w:r w:rsidRPr="00A16E93">
        <w:rPr>
          <w:rStyle w:val="rvts0"/>
          <w:sz w:val="28"/>
          <w:szCs w:val="28"/>
        </w:rPr>
        <w:t>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rsidR="00A4236D" w:rsidRDefault="00A4236D" w:rsidP="00A4236D">
      <w:pPr>
        <w:tabs>
          <w:tab w:val="left" w:pos="2310"/>
        </w:tabs>
        <w:ind w:firstLine="709"/>
        <w:jc w:val="both"/>
        <w:rPr>
          <w:sz w:val="28"/>
          <w:szCs w:val="28"/>
        </w:rPr>
      </w:pPr>
    </w:p>
    <w:p w:rsidR="00A4236D" w:rsidRDefault="00A4236D" w:rsidP="00A4236D">
      <w:pPr>
        <w:tabs>
          <w:tab w:val="left" w:pos="2310"/>
        </w:tabs>
        <w:ind w:firstLine="709"/>
        <w:jc w:val="center"/>
        <w:rPr>
          <w:sz w:val="28"/>
          <w:szCs w:val="28"/>
        </w:rPr>
      </w:pPr>
      <w:r w:rsidRPr="00A4236D">
        <w:rPr>
          <w:sz w:val="28"/>
          <w:szCs w:val="28"/>
        </w:rPr>
        <w:t xml:space="preserve">Динаміка </w:t>
      </w:r>
      <w:r w:rsidR="0022113F">
        <w:rPr>
          <w:sz w:val="28"/>
          <w:szCs w:val="28"/>
        </w:rPr>
        <w:t xml:space="preserve">надходжень коштів </w:t>
      </w:r>
      <w:r w:rsidRPr="00A4236D">
        <w:rPr>
          <w:sz w:val="28"/>
          <w:szCs w:val="28"/>
        </w:rPr>
        <w:t>від плати за землю</w:t>
      </w:r>
      <w:r w:rsidR="0022113F">
        <w:rPr>
          <w:sz w:val="28"/>
          <w:szCs w:val="28"/>
        </w:rPr>
        <w:t xml:space="preserve"> до міського бюджету</w:t>
      </w:r>
      <w:bookmarkStart w:id="0" w:name="_GoBack"/>
      <w:bookmarkEnd w:id="0"/>
    </w:p>
    <w:p w:rsidR="00012F91" w:rsidRDefault="00012F91" w:rsidP="00012F91">
      <w:pPr>
        <w:tabs>
          <w:tab w:val="left" w:pos="2310"/>
        </w:tabs>
        <w:ind w:firstLine="709"/>
        <w:jc w:val="both"/>
        <w:rPr>
          <w:b/>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91"/>
        <w:gridCol w:w="2017"/>
        <w:gridCol w:w="2026"/>
        <w:gridCol w:w="1984"/>
      </w:tblGrid>
      <w:tr w:rsidR="00A4236D" w:rsidTr="001162EF">
        <w:tc>
          <w:tcPr>
            <w:tcW w:w="582" w:type="dxa"/>
            <w:vMerge w:val="restart"/>
            <w:tcBorders>
              <w:top w:val="single" w:sz="4" w:space="0" w:color="auto"/>
              <w:left w:val="single" w:sz="4" w:space="0" w:color="auto"/>
              <w:bottom w:val="single" w:sz="4" w:space="0" w:color="auto"/>
              <w:right w:val="single" w:sz="4" w:space="0" w:color="auto"/>
            </w:tcBorders>
            <w:hideMark/>
          </w:tcPr>
          <w:p w:rsidR="00A4236D" w:rsidRDefault="00A4236D">
            <w:pPr>
              <w:spacing w:line="256" w:lineRule="auto"/>
              <w:jc w:val="both"/>
              <w:textAlignment w:val="top"/>
              <w:rPr>
                <w:sz w:val="28"/>
                <w:szCs w:val="28"/>
                <w:bdr w:val="none" w:sz="0" w:space="0" w:color="auto" w:frame="1"/>
                <w:lang w:eastAsia="uk-UA"/>
              </w:rPr>
            </w:pPr>
            <w:r>
              <w:rPr>
                <w:sz w:val="28"/>
                <w:szCs w:val="28"/>
                <w:bdr w:val="none" w:sz="0" w:space="0" w:color="auto" w:frame="1"/>
                <w:lang w:eastAsia="uk-UA"/>
              </w:rPr>
              <w:t>№</w:t>
            </w:r>
          </w:p>
          <w:p w:rsidR="00A4236D" w:rsidRDefault="00A4236D">
            <w:pPr>
              <w:spacing w:line="256" w:lineRule="auto"/>
              <w:jc w:val="both"/>
              <w:textAlignment w:val="top"/>
              <w:rPr>
                <w:sz w:val="28"/>
                <w:szCs w:val="28"/>
                <w:bdr w:val="none" w:sz="0" w:space="0" w:color="auto" w:frame="1"/>
                <w:lang w:eastAsia="uk-UA"/>
              </w:rPr>
            </w:pPr>
            <w:r>
              <w:rPr>
                <w:sz w:val="28"/>
                <w:szCs w:val="28"/>
                <w:bdr w:val="none" w:sz="0" w:space="0" w:color="auto" w:frame="1"/>
                <w:lang w:eastAsia="uk-UA"/>
              </w:rPr>
              <w:t>з/п</w:t>
            </w:r>
          </w:p>
        </w:tc>
        <w:tc>
          <w:tcPr>
            <w:tcW w:w="2991" w:type="dxa"/>
            <w:vMerge w:val="restart"/>
            <w:tcBorders>
              <w:top w:val="single" w:sz="4" w:space="0" w:color="auto"/>
              <w:left w:val="single" w:sz="4" w:space="0" w:color="auto"/>
              <w:bottom w:val="single" w:sz="4" w:space="0" w:color="auto"/>
              <w:right w:val="single" w:sz="4" w:space="0" w:color="auto"/>
            </w:tcBorders>
            <w:hideMark/>
          </w:tcPr>
          <w:p w:rsidR="00A4236D" w:rsidRDefault="00A4236D">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Показники</w:t>
            </w:r>
          </w:p>
        </w:tc>
        <w:tc>
          <w:tcPr>
            <w:tcW w:w="6027" w:type="dxa"/>
            <w:gridSpan w:val="3"/>
            <w:tcBorders>
              <w:top w:val="single" w:sz="4" w:space="0" w:color="auto"/>
              <w:left w:val="single" w:sz="4" w:space="0" w:color="auto"/>
              <w:bottom w:val="single" w:sz="4" w:space="0" w:color="auto"/>
              <w:right w:val="single" w:sz="4" w:space="0" w:color="auto"/>
            </w:tcBorders>
            <w:hideMark/>
          </w:tcPr>
          <w:p w:rsidR="00A4236D" w:rsidRDefault="00A4236D">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Період відстеження</w:t>
            </w:r>
          </w:p>
        </w:tc>
      </w:tr>
      <w:tr w:rsidR="00012F91" w:rsidTr="00414FC6">
        <w:tc>
          <w:tcPr>
            <w:tcW w:w="582" w:type="dxa"/>
            <w:vMerge/>
            <w:tcBorders>
              <w:top w:val="single" w:sz="4" w:space="0" w:color="auto"/>
              <w:left w:val="single" w:sz="4" w:space="0" w:color="auto"/>
              <w:bottom w:val="single" w:sz="4" w:space="0" w:color="auto"/>
              <w:right w:val="single" w:sz="4" w:space="0" w:color="auto"/>
            </w:tcBorders>
            <w:vAlign w:val="center"/>
            <w:hideMark/>
          </w:tcPr>
          <w:p w:rsidR="00012F91" w:rsidRDefault="00012F91">
            <w:pPr>
              <w:rPr>
                <w:sz w:val="28"/>
                <w:szCs w:val="28"/>
                <w:bdr w:val="none" w:sz="0" w:space="0" w:color="auto" w:frame="1"/>
                <w:lang w:eastAsia="uk-UA"/>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012F91" w:rsidRDefault="00012F91">
            <w:pPr>
              <w:rPr>
                <w:sz w:val="28"/>
                <w:szCs w:val="28"/>
                <w:bdr w:val="none" w:sz="0" w:space="0" w:color="auto" w:frame="1"/>
                <w:lang w:eastAsia="uk-UA"/>
              </w:rPr>
            </w:pPr>
          </w:p>
        </w:tc>
        <w:tc>
          <w:tcPr>
            <w:tcW w:w="2017" w:type="dxa"/>
            <w:tcBorders>
              <w:top w:val="single" w:sz="4" w:space="0" w:color="auto"/>
              <w:left w:val="single" w:sz="4" w:space="0" w:color="auto"/>
              <w:bottom w:val="single" w:sz="4" w:space="0" w:color="auto"/>
              <w:right w:val="single" w:sz="4" w:space="0" w:color="auto"/>
            </w:tcBorders>
            <w:hideMark/>
          </w:tcPr>
          <w:p w:rsidR="00012F91" w:rsidRDefault="00012F91" w:rsidP="00A4236D">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станом на 01.0</w:t>
            </w:r>
            <w:r w:rsidR="00A4236D">
              <w:rPr>
                <w:sz w:val="28"/>
                <w:szCs w:val="28"/>
                <w:bdr w:val="none" w:sz="0" w:space="0" w:color="auto" w:frame="1"/>
                <w:lang w:eastAsia="uk-UA"/>
              </w:rPr>
              <w:t>7</w:t>
            </w:r>
            <w:r>
              <w:rPr>
                <w:sz w:val="28"/>
                <w:szCs w:val="28"/>
                <w:bdr w:val="none" w:sz="0" w:space="0" w:color="auto" w:frame="1"/>
                <w:lang w:eastAsia="uk-UA"/>
              </w:rPr>
              <w:t>.201</w:t>
            </w:r>
            <w:r w:rsidR="00A4236D">
              <w:rPr>
                <w:sz w:val="28"/>
                <w:szCs w:val="28"/>
                <w:bdr w:val="none" w:sz="0" w:space="0" w:color="auto" w:frame="1"/>
                <w:lang w:eastAsia="uk-UA"/>
              </w:rPr>
              <w:t>5</w:t>
            </w:r>
            <w:r>
              <w:rPr>
                <w:sz w:val="28"/>
                <w:szCs w:val="28"/>
                <w:bdr w:val="none" w:sz="0" w:space="0" w:color="auto" w:frame="1"/>
                <w:lang w:eastAsia="uk-UA"/>
              </w:rPr>
              <w:t xml:space="preserve"> </w:t>
            </w:r>
            <w:r w:rsidR="0069516B">
              <w:rPr>
                <w:sz w:val="28"/>
                <w:szCs w:val="28"/>
                <w:bdr w:val="none" w:sz="0" w:space="0" w:color="auto" w:frame="1"/>
                <w:lang w:eastAsia="uk-UA"/>
              </w:rPr>
              <w:t xml:space="preserve"> </w:t>
            </w:r>
          </w:p>
          <w:p w:rsidR="00E140B5" w:rsidRDefault="00E140B5" w:rsidP="00A4236D">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(тис. грн)</w:t>
            </w:r>
          </w:p>
        </w:tc>
        <w:tc>
          <w:tcPr>
            <w:tcW w:w="2026" w:type="dxa"/>
            <w:tcBorders>
              <w:top w:val="single" w:sz="4" w:space="0" w:color="auto"/>
              <w:left w:val="single" w:sz="4" w:space="0" w:color="auto"/>
              <w:bottom w:val="single" w:sz="4" w:space="0" w:color="auto"/>
              <w:right w:val="single" w:sz="4" w:space="0" w:color="auto"/>
            </w:tcBorders>
            <w:hideMark/>
          </w:tcPr>
          <w:p w:rsidR="00E140B5" w:rsidRDefault="00012F91" w:rsidP="00A4236D">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станом на 01.0</w:t>
            </w:r>
            <w:r w:rsidR="00A4236D">
              <w:rPr>
                <w:sz w:val="28"/>
                <w:szCs w:val="28"/>
                <w:bdr w:val="none" w:sz="0" w:space="0" w:color="auto" w:frame="1"/>
                <w:lang w:eastAsia="uk-UA"/>
              </w:rPr>
              <w:t>7</w:t>
            </w:r>
            <w:r>
              <w:rPr>
                <w:sz w:val="28"/>
                <w:szCs w:val="28"/>
                <w:bdr w:val="none" w:sz="0" w:space="0" w:color="auto" w:frame="1"/>
                <w:lang w:eastAsia="uk-UA"/>
              </w:rPr>
              <w:t>.201</w:t>
            </w:r>
            <w:r w:rsidR="00A4236D">
              <w:rPr>
                <w:sz w:val="28"/>
                <w:szCs w:val="28"/>
                <w:bdr w:val="none" w:sz="0" w:space="0" w:color="auto" w:frame="1"/>
                <w:lang w:eastAsia="uk-UA"/>
              </w:rPr>
              <w:t>6</w:t>
            </w:r>
            <w:r>
              <w:rPr>
                <w:sz w:val="28"/>
                <w:szCs w:val="28"/>
                <w:bdr w:val="none" w:sz="0" w:space="0" w:color="auto" w:frame="1"/>
                <w:lang w:eastAsia="uk-UA"/>
              </w:rPr>
              <w:t xml:space="preserve"> </w:t>
            </w:r>
          </w:p>
          <w:p w:rsidR="00012F91" w:rsidRDefault="00E140B5" w:rsidP="00A4236D">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(тис. грн)</w:t>
            </w:r>
            <w:r w:rsidR="00012F91">
              <w:rPr>
                <w:sz w:val="28"/>
                <w:szCs w:val="28"/>
                <w:bdr w:val="none" w:sz="0" w:space="0" w:color="auto" w:frame="1"/>
                <w:lang w:eastAsia="uk-UA"/>
              </w:rPr>
              <w:t xml:space="preserve"> </w:t>
            </w:r>
            <w:r w:rsidR="0069516B">
              <w:rPr>
                <w:sz w:val="28"/>
                <w:szCs w:val="28"/>
                <w:bdr w:val="none" w:sz="0" w:space="0" w:color="auto" w:frame="1"/>
                <w:lang w:eastAsia="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140B5" w:rsidRDefault="00012F91" w:rsidP="00A4236D">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станом на 01.0</w:t>
            </w:r>
            <w:r w:rsidR="00A4236D">
              <w:rPr>
                <w:sz w:val="28"/>
                <w:szCs w:val="28"/>
                <w:bdr w:val="none" w:sz="0" w:space="0" w:color="auto" w:frame="1"/>
                <w:lang w:eastAsia="uk-UA"/>
              </w:rPr>
              <w:t>7</w:t>
            </w:r>
            <w:r>
              <w:rPr>
                <w:sz w:val="28"/>
                <w:szCs w:val="28"/>
                <w:bdr w:val="none" w:sz="0" w:space="0" w:color="auto" w:frame="1"/>
                <w:lang w:eastAsia="uk-UA"/>
              </w:rPr>
              <w:t>.2019</w:t>
            </w:r>
          </w:p>
          <w:p w:rsidR="00012F91" w:rsidRDefault="00E140B5" w:rsidP="00A4236D">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 xml:space="preserve">(тис. грн)  </w:t>
            </w:r>
            <w:r w:rsidR="00012F91">
              <w:rPr>
                <w:sz w:val="28"/>
                <w:szCs w:val="28"/>
                <w:bdr w:val="none" w:sz="0" w:space="0" w:color="auto" w:frame="1"/>
                <w:lang w:eastAsia="uk-UA"/>
              </w:rPr>
              <w:t xml:space="preserve"> </w:t>
            </w:r>
            <w:r w:rsidR="0069516B">
              <w:rPr>
                <w:sz w:val="28"/>
                <w:szCs w:val="28"/>
                <w:bdr w:val="none" w:sz="0" w:space="0" w:color="auto" w:frame="1"/>
                <w:lang w:eastAsia="uk-UA"/>
              </w:rPr>
              <w:t xml:space="preserve"> </w:t>
            </w:r>
          </w:p>
        </w:tc>
      </w:tr>
      <w:tr w:rsidR="00012F91" w:rsidTr="00414FC6">
        <w:tc>
          <w:tcPr>
            <w:tcW w:w="582" w:type="dxa"/>
            <w:tcBorders>
              <w:top w:val="single" w:sz="4" w:space="0" w:color="auto"/>
              <w:left w:val="single" w:sz="4" w:space="0" w:color="auto"/>
              <w:bottom w:val="single" w:sz="4" w:space="0" w:color="auto"/>
              <w:right w:val="single" w:sz="4" w:space="0" w:color="auto"/>
            </w:tcBorders>
            <w:hideMark/>
          </w:tcPr>
          <w:p w:rsidR="00012F91" w:rsidRDefault="00012F91">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1</w:t>
            </w:r>
          </w:p>
        </w:tc>
        <w:tc>
          <w:tcPr>
            <w:tcW w:w="2991" w:type="dxa"/>
            <w:tcBorders>
              <w:top w:val="single" w:sz="4" w:space="0" w:color="auto"/>
              <w:left w:val="single" w:sz="4" w:space="0" w:color="auto"/>
              <w:bottom w:val="single" w:sz="4" w:space="0" w:color="auto"/>
              <w:right w:val="single" w:sz="4" w:space="0" w:color="auto"/>
            </w:tcBorders>
            <w:hideMark/>
          </w:tcPr>
          <w:p w:rsidR="00012F91" w:rsidRDefault="00A10AAF" w:rsidP="00A10AAF">
            <w:pPr>
              <w:tabs>
                <w:tab w:val="left" w:pos="2310"/>
              </w:tabs>
              <w:spacing w:line="256" w:lineRule="auto"/>
              <w:ind w:firstLine="29"/>
              <w:jc w:val="both"/>
              <w:rPr>
                <w:sz w:val="28"/>
                <w:szCs w:val="28"/>
              </w:rPr>
            </w:pPr>
            <w:r>
              <w:rPr>
                <w:sz w:val="28"/>
                <w:szCs w:val="28"/>
              </w:rPr>
              <w:t>Орендна плата за земельні ділянки</w:t>
            </w:r>
          </w:p>
        </w:tc>
        <w:tc>
          <w:tcPr>
            <w:tcW w:w="2017" w:type="dxa"/>
            <w:tcBorders>
              <w:top w:val="single" w:sz="4" w:space="0" w:color="auto"/>
              <w:left w:val="single" w:sz="4" w:space="0" w:color="auto"/>
              <w:bottom w:val="single" w:sz="4" w:space="0" w:color="auto"/>
              <w:right w:val="single" w:sz="4" w:space="0" w:color="auto"/>
            </w:tcBorders>
            <w:vAlign w:val="center"/>
            <w:hideMark/>
          </w:tcPr>
          <w:p w:rsidR="00012F91" w:rsidRDefault="00E140B5">
            <w:pPr>
              <w:tabs>
                <w:tab w:val="left" w:pos="0"/>
              </w:tabs>
              <w:spacing w:line="256" w:lineRule="auto"/>
              <w:jc w:val="center"/>
              <w:rPr>
                <w:sz w:val="28"/>
                <w:szCs w:val="28"/>
              </w:rPr>
            </w:pPr>
            <w:r>
              <w:rPr>
                <w:sz w:val="28"/>
                <w:szCs w:val="28"/>
              </w:rPr>
              <w:t>287069,3</w:t>
            </w:r>
            <w:r w:rsidR="00012F91">
              <w:rPr>
                <w:sz w:val="28"/>
                <w:szCs w:val="28"/>
              </w:rPr>
              <w:t xml:space="preserve"> </w:t>
            </w:r>
          </w:p>
        </w:tc>
        <w:tc>
          <w:tcPr>
            <w:tcW w:w="2026" w:type="dxa"/>
            <w:tcBorders>
              <w:top w:val="single" w:sz="4" w:space="0" w:color="auto"/>
              <w:left w:val="single" w:sz="4" w:space="0" w:color="auto"/>
              <w:bottom w:val="single" w:sz="4" w:space="0" w:color="auto"/>
              <w:right w:val="single" w:sz="4" w:space="0" w:color="auto"/>
            </w:tcBorders>
            <w:vAlign w:val="center"/>
            <w:hideMark/>
          </w:tcPr>
          <w:p w:rsidR="00012F91" w:rsidRDefault="00E140B5">
            <w:pPr>
              <w:tabs>
                <w:tab w:val="left" w:pos="0"/>
              </w:tabs>
              <w:spacing w:line="256" w:lineRule="auto"/>
              <w:jc w:val="center"/>
              <w:rPr>
                <w:sz w:val="28"/>
                <w:szCs w:val="28"/>
              </w:rPr>
            </w:pPr>
            <w:r>
              <w:rPr>
                <w:sz w:val="28"/>
                <w:szCs w:val="28"/>
              </w:rPr>
              <w:t>454639,9</w:t>
            </w:r>
          </w:p>
        </w:tc>
        <w:tc>
          <w:tcPr>
            <w:tcW w:w="1984" w:type="dxa"/>
            <w:tcBorders>
              <w:top w:val="single" w:sz="4" w:space="0" w:color="auto"/>
              <w:left w:val="single" w:sz="4" w:space="0" w:color="auto"/>
              <w:bottom w:val="single" w:sz="4" w:space="0" w:color="auto"/>
              <w:right w:val="single" w:sz="4" w:space="0" w:color="auto"/>
            </w:tcBorders>
            <w:vAlign w:val="center"/>
            <w:hideMark/>
          </w:tcPr>
          <w:p w:rsidR="00012F91" w:rsidRDefault="00E140B5">
            <w:pPr>
              <w:tabs>
                <w:tab w:val="left" w:pos="0"/>
              </w:tabs>
              <w:spacing w:line="256" w:lineRule="auto"/>
              <w:jc w:val="center"/>
              <w:rPr>
                <w:sz w:val="28"/>
                <w:szCs w:val="28"/>
              </w:rPr>
            </w:pPr>
            <w:r>
              <w:rPr>
                <w:sz w:val="28"/>
                <w:szCs w:val="28"/>
              </w:rPr>
              <w:t>480123,4</w:t>
            </w:r>
          </w:p>
        </w:tc>
      </w:tr>
      <w:tr w:rsidR="00012F91" w:rsidTr="00414FC6">
        <w:tc>
          <w:tcPr>
            <w:tcW w:w="582" w:type="dxa"/>
            <w:tcBorders>
              <w:top w:val="single" w:sz="4" w:space="0" w:color="auto"/>
              <w:left w:val="single" w:sz="4" w:space="0" w:color="auto"/>
              <w:bottom w:val="single" w:sz="4" w:space="0" w:color="auto"/>
              <w:right w:val="single" w:sz="4" w:space="0" w:color="auto"/>
            </w:tcBorders>
            <w:hideMark/>
          </w:tcPr>
          <w:p w:rsidR="00012F91" w:rsidRDefault="00012F91">
            <w:pPr>
              <w:spacing w:line="256" w:lineRule="auto"/>
              <w:jc w:val="center"/>
              <w:textAlignment w:val="top"/>
              <w:rPr>
                <w:sz w:val="28"/>
                <w:szCs w:val="28"/>
                <w:bdr w:val="none" w:sz="0" w:space="0" w:color="auto" w:frame="1"/>
                <w:lang w:eastAsia="uk-UA"/>
              </w:rPr>
            </w:pPr>
            <w:r>
              <w:rPr>
                <w:sz w:val="28"/>
                <w:szCs w:val="28"/>
                <w:bdr w:val="none" w:sz="0" w:space="0" w:color="auto" w:frame="1"/>
                <w:lang w:eastAsia="uk-UA"/>
              </w:rPr>
              <w:t>2</w:t>
            </w:r>
          </w:p>
        </w:tc>
        <w:tc>
          <w:tcPr>
            <w:tcW w:w="2991" w:type="dxa"/>
            <w:tcBorders>
              <w:top w:val="single" w:sz="4" w:space="0" w:color="auto"/>
              <w:left w:val="single" w:sz="4" w:space="0" w:color="auto"/>
              <w:bottom w:val="single" w:sz="4" w:space="0" w:color="auto"/>
              <w:right w:val="single" w:sz="4" w:space="0" w:color="auto"/>
            </w:tcBorders>
            <w:hideMark/>
          </w:tcPr>
          <w:p w:rsidR="00012F91" w:rsidRPr="00E140B5" w:rsidRDefault="00E140B5">
            <w:pPr>
              <w:spacing w:line="256" w:lineRule="auto"/>
              <w:jc w:val="both"/>
              <w:textAlignment w:val="top"/>
              <w:rPr>
                <w:sz w:val="28"/>
                <w:szCs w:val="28"/>
                <w:bdr w:val="none" w:sz="0" w:space="0" w:color="auto" w:frame="1"/>
                <w:lang w:eastAsia="uk-UA"/>
              </w:rPr>
            </w:pPr>
            <w:r w:rsidRPr="00E140B5">
              <w:rPr>
                <w:sz w:val="28"/>
                <w:szCs w:val="28"/>
                <w:bdr w:val="none" w:sz="0" w:space="0" w:color="auto" w:frame="1"/>
                <w:lang w:eastAsia="uk-UA"/>
              </w:rPr>
              <w:t>Земельний податок</w:t>
            </w:r>
          </w:p>
        </w:tc>
        <w:tc>
          <w:tcPr>
            <w:tcW w:w="2017" w:type="dxa"/>
            <w:tcBorders>
              <w:top w:val="single" w:sz="4" w:space="0" w:color="auto"/>
              <w:left w:val="single" w:sz="4" w:space="0" w:color="auto"/>
              <w:bottom w:val="single" w:sz="4" w:space="0" w:color="auto"/>
              <w:right w:val="single" w:sz="4" w:space="0" w:color="auto"/>
            </w:tcBorders>
            <w:hideMark/>
          </w:tcPr>
          <w:p w:rsidR="00012F91" w:rsidRDefault="00E140B5">
            <w:pPr>
              <w:spacing w:line="256" w:lineRule="auto"/>
              <w:jc w:val="center"/>
              <w:textAlignment w:val="top"/>
              <w:rPr>
                <w:sz w:val="28"/>
                <w:szCs w:val="28"/>
                <w:bdr w:val="none" w:sz="0" w:space="0" w:color="auto" w:frame="1"/>
                <w:lang w:eastAsia="uk-UA"/>
              </w:rPr>
            </w:pPr>
            <w:r>
              <w:rPr>
                <w:sz w:val="28"/>
                <w:szCs w:val="28"/>
              </w:rPr>
              <w:t>115956,6</w:t>
            </w:r>
          </w:p>
        </w:tc>
        <w:tc>
          <w:tcPr>
            <w:tcW w:w="2026" w:type="dxa"/>
            <w:tcBorders>
              <w:top w:val="single" w:sz="4" w:space="0" w:color="auto"/>
              <w:left w:val="single" w:sz="4" w:space="0" w:color="auto"/>
              <w:bottom w:val="single" w:sz="4" w:space="0" w:color="auto"/>
              <w:right w:val="single" w:sz="4" w:space="0" w:color="auto"/>
            </w:tcBorders>
            <w:hideMark/>
          </w:tcPr>
          <w:p w:rsidR="00012F91" w:rsidRDefault="00E140B5">
            <w:pPr>
              <w:spacing w:line="256" w:lineRule="auto"/>
              <w:jc w:val="center"/>
              <w:textAlignment w:val="top"/>
              <w:rPr>
                <w:sz w:val="28"/>
                <w:szCs w:val="28"/>
                <w:bdr w:val="none" w:sz="0" w:space="0" w:color="auto" w:frame="1"/>
                <w:lang w:eastAsia="uk-UA"/>
              </w:rPr>
            </w:pPr>
            <w:r>
              <w:rPr>
                <w:sz w:val="28"/>
                <w:szCs w:val="28"/>
              </w:rPr>
              <w:t>233537,0</w:t>
            </w:r>
          </w:p>
        </w:tc>
        <w:tc>
          <w:tcPr>
            <w:tcW w:w="1984" w:type="dxa"/>
            <w:tcBorders>
              <w:top w:val="single" w:sz="4" w:space="0" w:color="auto"/>
              <w:left w:val="single" w:sz="4" w:space="0" w:color="auto"/>
              <w:bottom w:val="single" w:sz="4" w:space="0" w:color="auto"/>
              <w:right w:val="single" w:sz="4" w:space="0" w:color="auto"/>
            </w:tcBorders>
          </w:tcPr>
          <w:p w:rsidR="00012F91" w:rsidRDefault="00E140B5">
            <w:pPr>
              <w:spacing w:line="256" w:lineRule="auto"/>
              <w:jc w:val="center"/>
              <w:textAlignment w:val="top"/>
              <w:rPr>
                <w:sz w:val="28"/>
                <w:szCs w:val="28"/>
              </w:rPr>
            </w:pPr>
            <w:r>
              <w:rPr>
                <w:sz w:val="28"/>
                <w:szCs w:val="28"/>
              </w:rPr>
              <w:t>384520,2</w:t>
            </w:r>
          </w:p>
          <w:p w:rsidR="00012F91" w:rsidRDefault="00012F91">
            <w:pPr>
              <w:spacing w:line="256" w:lineRule="auto"/>
              <w:jc w:val="center"/>
              <w:textAlignment w:val="top"/>
              <w:rPr>
                <w:sz w:val="28"/>
                <w:szCs w:val="28"/>
                <w:bdr w:val="none" w:sz="0" w:space="0" w:color="auto" w:frame="1"/>
                <w:lang w:eastAsia="uk-UA"/>
              </w:rPr>
            </w:pPr>
          </w:p>
        </w:tc>
      </w:tr>
      <w:tr w:rsidR="005438C7" w:rsidTr="00414FC6">
        <w:tc>
          <w:tcPr>
            <w:tcW w:w="582" w:type="dxa"/>
            <w:tcBorders>
              <w:top w:val="single" w:sz="4" w:space="0" w:color="auto"/>
              <w:left w:val="single" w:sz="4" w:space="0" w:color="auto"/>
              <w:bottom w:val="single" w:sz="4" w:space="0" w:color="auto"/>
              <w:right w:val="single" w:sz="4" w:space="0" w:color="auto"/>
            </w:tcBorders>
          </w:tcPr>
          <w:p w:rsidR="005438C7" w:rsidRDefault="005438C7">
            <w:pPr>
              <w:spacing w:line="256" w:lineRule="auto"/>
              <w:jc w:val="center"/>
              <w:textAlignment w:val="top"/>
              <w:rPr>
                <w:sz w:val="28"/>
                <w:szCs w:val="28"/>
                <w:bdr w:val="none" w:sz="0" w:space="0" w:color="auto" w:frame="1"/>
                <w:lang w:eastAsia="uk-UA"/>
              </w:rPr>
            </w:pPr>
          </w:p>
        </w:tc>
        <w:tc>
          <w:tcPr>
            <w:tcW w:w="2991" w:type="dxa"/>
            <w:tcBorders>
              <w:top w:val="single" w:sz="4" w:space="0" w:color="auto"/>
              <w:left w:val="single" w:sz="4" w:space="0" w:color="auto"/>
              <w:bottom w:val="single" w:sz="4" w:space="0" w:color="auto"/>
              <w:right w:val="single" w:sz="4" w:space="0" w:color="auto"/>
            </w:tcBorders>
          </w:tcPr>
          <w:p w:rsidR="005438C7" w:rsidRPr="00E140B5" w:rsidRDefault="005438C7">
            <w:pPr>
              <w:spacing w:line="256" w:lineRule="auto"/>
              <w:jc w:val="both"/>
              <w:textAlignment w:val="top"/>
              <w:rPr>
                <w:sz w:val="28"/>
                <w:szCs w:val="28"/>
                <w:bdr w:val="none" w:sz="0" w:space="0" w:color="auto" w:frame="1"/>
                <w:lang w:eastAsia="uk-UA"/>
              </w:rPr>
            </w:pPr>
            <w:r>
              <w:rPr>
                <w:sz w:val="28"/>
                <w:szCs w:val="28"/>
                <w:bdr w:val="none" w:sz="0" w:space="0" w:color="auto" w:frame="1"/>
                <w:lang w:eastAsia="uk-UA"/>
              </w:rPr>
              <w:t>Всього</w:t>
            </w:r>
          </w:p>
        </w:tc>
        <w:tc>
          <w:tcPr>
            <w:tcW w:w="2017" w:type="dxa"/>
            <w:tcBorders>
              <w:top w:val="single" w:sz="4" w:space="0" w:color="auto"/>
              <w:left w:val="single" w:sz="4" w:space="0" w:color="auto"/>
              <w:bottom w:val="single" w:sz="4" w:space="0" w:color="auto"/>
              <w:right w:val="single" w:sz="4" w:space="0" w:color="auto"/>
            </w:tcBorders>
          </w:tcPr>
          <w:p w:rsidR="005438C7" w:rsidRDefault="005438C7">
            <w:pPr>
              <w:spacing w:line="256" w:lineRule="auto"/>
              <w:jc w:val="center"/>
              <w:textAlignment w:val="top"/>
              <w:rPr>
                <w:sz w:val="28"/>
                <w:szCs w:val="28"/>
              </w:rPr>
            </w:pPr>
            <w:r>
              <w:rPr>
                <w:sz w:val="28"/>
                <w:szCs w:val="28"/>
                <w:lang w:eastAsia="uk-UA"/>
              </w:rPr>
              <w:t>403025,9</w:t>
            </w:r>
          </w:p>
        </w:tc>
        <w:tc>
          <w:tcPr>
            <w:tcW w:w="2026" w:type="dxa"/>
            <w:tcBorders>
              <w:top w:val="single" w:sz="4" w:space="0" w:color="auto"/>
              <w:left w:val="single" w:sz="4" w:space="0" w:color="auto"/>
              <w:bottom w:val="single" w:sz="4" w:space="0" w:color="auto"/>
              <w:right w:val="single" w:sz="4" w:space="0" w:color="auto"/>
            </w:tcBorders>
          </w:tcPr>
          <w:p w:rsidR="005438C7" w:rsidRDefault="005438C7">
            <w:pPr>
              <w:spacing w:line="256" w:lineRule="auto"/>
              <w:jc w:val="center"/>
              <w:textAlignment w:val="top"/>
              <w:rPr>
                <w:sz w:val="28"/>
                <w:szCs w:val="28"/>
              </w:rPr>
            </w:pPr>
            <w:r>
              <w:rPr>
                <w:sz w:val="28"/>
                <w:szCs w:val="28"/>
                <w:bdr w:val="none" w:sz="0" w:space="0" w:color="auto" w:frame="1"/>
                <w:lang w:eastAsia="uk-UA"/>
              </w:rPr>
              <w:t xml:space="preserve">688176,9    </w:t>
            </w:r>
          </w:p>
        </w:tc>
        <w:tc>
          <w:tcPr>
            <w:tcW w:w="1984" w:type="dxa"/>
            <w:tcBorders>
              <w:top w:val="single" w:sz="4" w:space="0" w:color="auto"/>
              <w:left w:val="single" w:sz="4" w:space="0" w:color="auto"/>
              <w:bottom w:val="single" w:sz="4" w:space="0" w:color="auto"/>
              <w:right w:val="single" w:sz="4" w:space="0" w:color="auto"/>
            </w:tcBorders>
          </w:tcPr>
          <w:p w:rsidR="005438C7" w:rsidRDefault="005438C7">
            <w:pPr>
              <w:spacing w:line="256" w:lineRule="auto"/>
              <w:jc w:val="center"/>
              <w:textAlignment w:val="top"/>
              <w:rPr>
                <w:sz w:val="28"/>
                <w:szCs w:val="28"/>
              </w:rPr>
            </w:pPr>
            <w:r>
              <w:rPr>
                <w:sz w:val="28"/>
                <w:szCs w:val="28"/>
                <w:bdr w:val="none" w:sz="0" w:space="0" w:color="auto" w:frame="1"/>
                <w:lang w:eastAsia="uk-UA"/>
              </w:rPr>
              <w:t>864643,6</w:t>
            </w:r>
          </w:p>
        </w:tc>
      </w:tr>
    </w:tbl>
    <w:p w:rsidR="005438C7" w:rsidRDefault="005438C7" w:rsidP="00012F91">
      <w:pPr>
        <w:ind w:firstLine="720"/>
        <w:jc w:val="both"/>
        <w:rPr>
          <w:sz w:val="28"/>
          <w:szCs w:val="28"/>
        </w:rPr>
      </w:pPr>
    </w:p>
    <w:p w:rsidR="002D2CE8" w:rsidRDefault="002D2CE8" w:rsidP="002D2CE8">
      <w:pPr>
        <w:ind w:firstLine="720"/>
        <w:jc w:val="both"/>
        <w:rPr>
          <w:sz w:val="28"/>
          <w:szCs w:val="28"/>
        </w:rPr>
      </w:pPr>
      <w:r>
        <w:rPr>
          <w:sz w:val="28"/>
          <w:szCs w:val="28"/>
        </w:rPr>
        <w:t>Н</w:t>
      </w:r>
      <w:r w:rsidR="005438C7">
        <w:rPr>
          <w:sz w:val="28"/>
          <w:szCs w:val="28"/>
        </w:rPr>
        <w:t xml:space="preserve">адходження до міського бюджету від плати за землю </w:t>
      </w:r>
      <w:r w:rsidR="00875EAC">
        <w:rPr>
          <w:sz w:val="28"/>
          <w:szCs w:val="28"/>
        </w:rPr>
        <w:t>збільшил</w:t>
      </w:r>
      <w:r w:rsidR="00C94B05">
        <w:rPr>
          <w:sz w:val="28"/>
          <w:szCs w:val="28"/>
        </w:rPr>
        <w:t>и</w:t>
      </w:r>
      <w:r w:rsidR="00875EAC">
        <w:rPr>
          <w:sz w:val="28"/>
          <w:szCs w:val="28"/>
        </w:rPr>
        <w:t>ся</w:t>
      </w:r>
      <w:r>
        <w:rPr>
          <w:sz w:val="28"/>
          <w:szCs w:val="28"/>
        </w:rPr>
        <w:t xml:space="preserve">: </w:t>
      </w:r>
    </w:p>
    <w:p w:rsidR="002D2CE8" w:rsidRPr="002D2CE8" w:rsidRDefault="002D2CE8" w:rsidP="002D2CE8">
      <w:pPr>
        <w:ind w:firstLine="720"/>
        <w:jc w:val="both"/>
        <w:rPr>
          <w:sz w:val="28"/>
          <w:szCs w:val="28"/>
        </w:rPr>
      </w:pPr>
      <w:r>
        <w:rPr>
          <w:sz w:val="28"/>
          <w:szCs w:val="28"/>
        </w:rPr>
        <w:t>- з</w:t>
      </w:r>
      <w:r w:rsidRPr="002D2CE8">
        <w:rPr>
          <w:sz w:val="28"/>
          <w:szCs w:val="28"/>
        </w:rPr>
        <w:t xml:space="preserve">а перший рік дій регуляторного </w:t>
      </w:r>
      <w:proofErr w:type="spellStart"/>
      <w:r w:rsidRPr="002D2CE8">
        <w:rPr>
          <w:sz w:val="28"/>
          <w:szCs w:val="28"/>
        </w:rPr>
        <w:t>акта</w:t>
      </w:r>
      <w:proofErr w:type="spellEnd"/>
      <w:r w:rsidR="00875EAC" w:rsidRPr="002D2CE8">
        <w:rPr>
          <w:sz w:val="28"/>
          <w:szCs w:val="28"/>
        </w:rPr>
        <w:t xml:space="preserve"> порівняно з періодом до дня набрання </w:t>
      </w:r>
      <w:r w:rsidR="00C94B05" w:rsidRPr="002D2CE8">
        <w:rPr>
          <w:sz w:val="28"/>
          <w:szCs w:val="28"/>
        </w:rPr>
        <w:t>його чинності</w:t>
      </w:r>
      <w:r w:rsidRPr="002D2CE8">
        <w:rPr>
          <w:sz w:val="28"/>
          <w:szCs w:val="28"/>
        </w:rPr>
        <w:t xml:space="preserve"> - на 59 %;</w:t>
      </w:r>
    </w:p>
    <w:p w:rsidR="005438C7" w:rsidRDefault="00875EAC" w:rsidP="00012F91">
      <w:pPr>
        <w:ind w:firstLine="720"/>
        <w:jc w:val="both"/>
        <w:rPr>
          <w:sz w:val="28"/>
          <w:szCs w:val="28"/>
        </w:rPr>
      </w:pPr>
      <w:r>
        <w:rPr>
          <w:sz w:val="28"/>
          <w:szCs w:val="28"/>
        </w:rPr>
        <w:t xml:space="preserve"> </w:t>
      </w:r>
      <w:r w:rsidR="002D2CE8">
        <w:rPr>
          <w:sz w:val="28"/>
          <w:szCs w:val="28"/>
        </w:rPr>
        <w:t xml:space="preserve">- за три роки дії регуляторного </w:t>
      </w:r>
      <w:proofErr w:type="spellStart"/>
      <w:r w:rsidR="002D2CE8">
        <w:rPr>
          <w:sz w:val="28"/>
          <w:szCs w:val="28"/>
        </w:rPr>
        <w:t>акта</w:t>
      </w:r>
      <w:proofErr w:type="spellEnd"/>
      <w:r w:rsidR="002D2CE8">
        <w:rPr>
          <w:sz w:val="28"/>
          <w:szCs w:val="28"/>
        </w:rPr>
        <w:t xml:space="preserve"> -</w:t>
      </w:r>
      <w:r>
        <w:rPr>
          <w:sz w:val="28"/>
          <w:szCs w:val="28"/>
        </w:rPr>
        <w:t xml:space="preserve"> </w:t>
      </w:r>
      <w:r w:rsidR="00C94B05">
        <w:rPr>
          <w:sz w:val="28"/>
          <w:szCs w:val="28"/>
        </w:rPr>
        <w:t>на 79,6 %</w:t>
      </w:r>
      <w:r w:rsidR="002D2CE8">
        <w:rPr>
          <w:sz w:val="28"/>
          <w:szCs w:val="28"/>
        </w:rPr>
        <w:t xml:space="preserve">. </w:t>
      </w:r>
    </w:p>
    <w:p w:rsidR="00012F91" w:rsidRDefault="00012F91" w:rsidP="00012F91">
      <w:pPr>
        <w:ind w:firstLine="720"/>
        <w:jc w:val="both"/>
        <w:rPr>
          <w:sz w:val="28"/>
          <w:szCs w:val="28"/>
        </w:rPr>
      </w:pPr>
      <w:r>
        <w:rPr>
          <w:sz w:val="28"/>
          <w:szCs w:val="28"/>
        </w:rPr>
        <w:t>Підвищення рівня інформованості громадян та суб’єктів господарювання щодо основних положень регуляторного акта досягнуто шляхом оприлюднення рішення на офіційному веб-сайті Дніпровської міської ради у розділі «</w:t>
      </w:r>
      <w:r w:rsidR="00A16E93">
        <w:rPr>
          <w:sz w:val="28"/>
          <w:szCs w:val="28"/>
        </w:rPr>
        <w:t>Документи міської ради</w:t>
      </w:r>
      <w:r>
        <w:rPr>
          <w:sz w:val="28"/>
          <w:szCs w:val="28"/>
        </w:rPr>
        <w:t>» та у газеті «Наше місто».</w:t>
      </w:r>
    </w:p>
    <w:p w:rsidR="00A16E93" w:rsidRDefault="007608A7" w:rsidP="00012F91">
      <w:pPr>
        <w:ind w:firstLine="720"/>
        <w:jc w:val="both"/>
        <w:rPr>
          <w:sz w:val="28"/>
          <w:szCs w:val="28"/>
        </w:rPr>
      </w:pPr>
      <w:r>
        <w:rPr>
          <w:sz w:val="28"/>
          <w:szCs w:val="28"/>
        </w:rPr>
        <w:t xml:space="preserve">Рівень </w:t>
      </w:r>
      <w:r w:rsidR="00A16E93">
        <w:rPr>
          <w:sz w:val="28"/>
          <w:szCs w:val="28"/>
        </w:rPr>
        <w:t xml:space="preserve">інформованості з основних положень даного регуляторного </w:t>
      </w:r>
      <w:proofErr w:type="spellStart"/>
      <w:r w:rsidR="00A16E93">
        <w:rPr>
          <w:sz w:val="28"/>
          <w:szCs w:val="28"/>
        </w:rPr>
        <w:t>акта</w:t>
      </w:r>
      <w:proofErr w:type="spellEnd"/>
      <w:r w:rsidR="00A16E93">
        <w:rPr>
          <w:sz w:val="28"/>
          <w:szCs w:val="28"/>
        </w:rPr>
        <w:t xml:space="preserve"> надає змогу землевласникам та землекористувачам земельних ділянок, розташованих в межах м. Дніпра, </w:t>
      </w:r>
      <w:r w:rsidR="00AA6C3A">
        <w:rPr>
          <w:sz w:val="28"/>
          <w:szCs w:val="28"/>
        </w:rPr>
        <w:t xml:space="preserve">своєчасно та </w:t>
      </w:r>
      <w:r w:rsidR="00A16E93">
        <w:rPr>
          <w:sz w:val="28"/>
          <w:szCs w:val="28"/>
        </w:rPr>
        <w:t>у значно коротший термін отримати витяги з технічної документації про нормативну г</w:t>
      </w:r>
      <w:r w:rsidR="00AA6C3A">
        <w:rPr>
          <w:sz w:val="28"/>
          <w:szCs w:val="28"/>
        </w:rPr>
        <w:t>рошову оцінку земельних ділянок</w:t>
      </w:r>
      <w:r w:rsidR="00A16E93">
        <w:rPr>
          <w:sz w:val="28"/>
          <w:szCs w:val="28"/>
        </w:rPr>
        <w:t xml:space="preserve">, які знаходяться у їх власності або користуванні, для визначення розміру земельного податку, державного мита або орендної плати за земельні ділянки державної та комунальної власності, що в свою чергу призводить до ефективного землекористування в умовах ринкової </w:t>
      </w:r>
      <w:r w:rsidR="00AA6C3A">
        <w:rPr>
          <w:sz w:val="28"/>
          <w:szCs w:val="28"/>
        </w:rPr>
        <w:t>економіки</w:t>
      </w:r>
      <w:r w:rsidR="00A16E93">
        <w:rPr>
          <w:sz w:val="28"/>
          <w:szCs w:val="28"/>
        </w:rPr>
        <w:t xml:space="preserve">. </w:t>
      </w:r>
    </w:p>
    <w:p w:rsidR="00012F91" w:rsidRDefault="00012F91" w:rsidP="00012F91">
      <w:pPr>
        <w:ind w:firstLine="720"/>
        <w:jc w:val="both"/>
        <w:rPr>
          <w:b/>
          <w:sz w:val="28"/>
          <w:szCs w:val="28"/>
        </w:rPr>
      </w:pPr>
    </w:p>
    <w:p w:rsidR="007608A7" w:rsidRDefault="00012F91" w:rsidP="00AA6C3A">
      <w:pPr>
        <w:ind w:firstLine="709"/>
        <w:jc w:val="both"/>
        <w:rPr>
          <w:b/>
          <w:sz w:val="28"/>
          <w:szCs w:val="28"/>
        </w:rPr>
      </w:pPr>
      <w:r>
        <w:rPr>
          <w:b/>
          <w:sz w:val="28"/>
          <w:szCs w:val="28"/>
        </w:rPr>
        <w:lastRenderedPageBreak/>
        <w:t>9. Оцінка результатів реалізації регуляторного акта та ступ</w:t>
      </w:r>
      <w:r w:rsidR="007608A7">
        <w:rPr>
          <w:b/>
          <w:sz w:val="28"/>
          <w:szCs w:val="28"/>
        </w:rPr>
        <w:t>еня досягнення визначених цілей</w:t>
      </w:r>
    </w:p>
    <w:p w:rsidR="00012F91" w:rsidRPr="00AA6C3A" w:rsidRDefault="00012F91" w:rsidP="00AA6C3A">
      <w:pPr>
        <w:ind w:firstLine="709"/>
        <w:jc w:val="both"/>
        <w:rPr>
          <w:sz w:val="28"/>
          <w:szCs w:val="28"/>
        </w:rPr>
      </w:pPr>
      <w:r>
        <w:rPr>
          <w:b/>
          <w:sz w:val="28"/>
          <w:szCs w:val="28"/>
        </w:rPr>
        <w:t xml:space="preserve"> </w:t>
      </w:r>
      <w:r w:rsidR="00AA6C3A" w:rsidRPr="00AA6C3A">
        <w:rPr>
          <w:sz w:val="28"/>
          <w:szCs w:val="28"/>
        </w:rPr>
        <w:t xml:space="preserve">Показником результативності </w:t>
      </w:r>
      <w:r w:rsidR="00AA6C3A">
        <w:rPr>
          <w:sz w:val="28"/>
          <w:szCs w:val="28"/>
        </w:rPr>
        <w:t xml:space="preserve">регуляторного </w:t>
      </w:r>
      <w:proofErr w:type="spellStart"/>
      <w:r w:rsidR="00AA6C3A">
        <w:rPr>
          <w:sz w:val="28"/>
          <w:szCs w:val="28"/>
        </w:rPr>
        <w:t>акта</w:t>
      </w:r>
      <w:proofErr w:type="spellEnd"/>
      <w:r w:rsidR="00AA6C3A">
        <w:rPr>
          <w:sz w:val="28"/>
          <w:szCs w:val="28"/>
        </w:rPr>
        <w:t xml:space="preserve"> </w:t>
      </w:r>
      <w:r w:rsidR="00AA6C3A" w:rsidRPr="00AA6C3A">
        <w:rPr>
          <w:sz w:val="28"/>
          <w:szCs w:val="28"/>
        </w:rPr>
        <w:t xml:space="preserve">є </w:t>
      </w:r>
      <w:r w:rsidR="00AA6C3A">
        <w:rPr>
          <w:sz w:val="28"/>
          <w:szCs w:val="28"/>
        </w:rPr>
        <w:t xml:space="preserve">збільшення </w:t>
      </w:r>
      <w:proofErr w:type="spellStart"/>
      <w:r w:rsidR="00AA6C3A">
        <w:rPr>
          <w:sz w:val="28"/>
          <w:szCs w:val="28"/>
        </w:rPr>
        <w:t>надход</w:t>
      </w:r>
      <w:r w:rsidR="007608A7">
        <w:rPr>
          <w:sz w:val="28"/>
          <w:szCs w:val="28"/>
        </w:rPr>
        <w:t>-</w:t>
      </w:r>
      <w:r w:rsidR="00AA6C3A">
        <w:rPr>
          <w:sz w:val="28"/>
          <w:szCs w:val="28"/>
        </w:rPr>
        <w:t>жень</w:t>
      </w:r>
      <w:proofErr w:type="spellEnd"/>
      <w:r w:rsidR="00AA6C3A">
        <w:rPr>
          <w:sz w:val="28"/>
          <w:szCs w:val="28"/>
        </w:rPr>
        <w:t xml:space="preserve"> до</w:t>
      </w:r>
      <w:r w:rsidR="00FE307E">
        <w:rPr>
          <w:sz w:val="28"/>
          <w:szCs w:val="28"/>
        </w:rPr>
        <w:t xml:space="preserve"> державного та місцевого </w:t>
      </w:r>
      <w:r w:rsidR="00AA6C3A">
        <w:rPr>
          <w:sz w:val="28"/>
          <w:szCs w:val="28"/>
        </w:rPr>
        <w:t xml:space="preserve"> бюджет</w:t>
      </w:r>
      <w:r w:rsidR="00FE307E">
        <w:rPr>
          <w:sz w:val="28"/>
          <w:szCs w:val="28"/>
        </w:rPr>
        <w:t>ів коштів від плати за землю та державного мита. Крім цього наявність нормативної грошової оцінки земель м. Дніпра дає можливість органам місцевого самоврядування, поряд з норма</w:t>
      </w:r>
      <w:r w:rsidR="007608A7">
        <w:rPr>
          <w:sz w:val="28"/>
          <w:szCs w:val="28"/>
        </w:rPr>
        <w:t>-</w:t>
      </w:r>
      <w:proofErr w:type="spellStart"/>
      <w:r w:rsidR="00FE307E">
        <w:rPr>
          <w:sz w:val="28"/>
          <w:szCs w:val="28"/>
        </w:rPr>
        <w:t>тивно</w:t>
      </w:r>
      <w:proofErr w:type="spellEnd"/>
      <w:r w:rsidR="00FE307E">
        <w:rPr>
          <w:sz w:val="28"/>
          <w:szCs w:val="28"/>
        </w:rPr>
        <w:t xml:space="preserve">-організаційними методами управління розвитком територій, реалізувати свої регулятивні повноваження на підставі створення економічних умов і стимулів раціонального використання </w:t>
      </w:r>
      <w:r w:rsidR="00070203">
        <w:rPr>
          <w:sz w:val="28"/>
          <w:szCs w:val="28"/>
        </w:rPr>
        <w:t>міських земель, створити необхідні умови для наповнення фінансово-економічної бази населених пунктів за рахунок справляння плати за землю.</w:t>
      </w:r>
      <w:r w:rsidR="00FE307E">
        <w:rPr>
          <w:sz w:val="28"/>
          <w:szCs w:val="28"/>
        </w:rPr>
        <w:t xml:space="preserve"> </w:t>
      </w:r>
    </w:p>
    <w:p w:rsidR="00012F91" w:rsidRPr="00AA6C3A" w:rsidRDefault="00AA6C3A" w:rsidP="00AA6C3A">
      <w:pPr>
        <w:ind w:firstLine="709"/>
        <w:jc w:val="both"/>
        <w:rPr>
          <w:sz w:val="28"/>
          <w:szCs w:val="28"/>
        </w:rPr>
      </w:pPr>
      <w:r w:rsidRPr="00AA6C3A">
        <w:rPr>
          <w:sz w:val="28"/>
          <w:szCs w:val="28"/>
        </w:rPr>
        <w:t xml:space="preserve">У ході проведення періодичного відстеження результативності </w:t>
      </w:r>
      <w:r w:rsidR="00070203">
        <w:rPr>
          <w:sz w:val="28"/>
          <w:szCs w:val="28"/>
        </w:rPr>
        <w:t xml:space="preserve">регуляторного </w:t>
      </w:r>
      <w:proofErr w:type="spellStart"/>
      <w:r w:rsidR="00070203">
        <w:rPr>
          <w:sz w:val="28"/>
          <w:szCs w:val="28"/>
        </w:rPr>
        <w:t>акта</w:t>
      </w:r>
      <w:proofErr w:type="spellEnd"/>
      <w:r w:rsidRPr="00AA6C3A">
        <w:rPr>
          <w:sz w:val="28"/>
          <w:szCs w:val="28"/>
        </w:rPr>
        <w:t xml:space="preserve"> та оцінки результатів його реалізації виявлено, що зазначений </w:t>
      </w:r>
      <w:r w:rsidR="00070203">
        <w:rPr>
          <w:sz w:val="28"/>
          <w:szCs w:val="28"/>
        </w:rPr>
        <w:t xml:space="preserve">регуляторний акт </w:t>
      </w:r>
      <w:r w:rsidRPr="00AA6C3A">
        <w:rPr>
          <w:sz w:val="28"/>
          <w:szCs w:val="28"/>
        </w:rPr>
        <w:t>в цілому є ефективним та має позитивні результати.</w:t>
      </w:r>
    </w:p>
    <w:p w:rsidR="00AA6C3A" w:rsidRPr="00AA6C3A" w:rsidRDefault="00AA6C3A" w:rsidP="00AA6C3A">
      <w:pPr>
        <w:ind w:firstLine="709"/>
        <w:jc w:val="both"/>
        <w:rPr>
          <w:sz w:val="28"/>
          <w:szCs w:val="28"/>
        </w:rPr>
      </w:pPr>
      <w:r w:rsidRPr="00AA6C3A">
        <w:rPr>
          <w:sz w:val="28"/>
          <w:szCs w:val="28"/>
        </w:rPr>
        <w:t>Наступне періодичне відстеження буде проведено у термін, визначений Законом України «Про засади державної регуляторної політики у сфері господарської діяльності».</w:t>
      </w:r>
    </w:p>
    <w:p w:rsidR="00012F91" w:rsidRDefault="00012F91" w:rsidP="00012F91">
      <w:pPr>
        <w:ind w:firstLine="900"/>
        <w:jc w:val="both"/>
        <w:rPr>
          <w:sz w:val="28"/>
          <w:szCs w:val="28"/>
        </w:rPr>
      </w:pPr>
    </w:p>
    <w:p w:rsidR="00012F91" w:rsidRDefault="00012F91" w:rsidP="00012F91">
      <w:pPr>
        <w:tabs>
          <w:tab w:val="left" w:pos="1140"/>
        </w:tabs>
        <w:rPr>
          <w:sz w:val="28"/>
          <w:szCs w:val="28"/>
          <w:lang w:val="ru-RU"/>
        </w:rPr>
      </w:pPr>
    </w:p>
    <w:p w:rsidR="00070203" w:rsidRDefault="00070203" w:rsidP="00012F91">
      <w:pPr>
        <w:tabs>
          <w:tab w:val="left" w:pos="1140"/>
        </w:tabs>
        <w:rPr>
          <w:sz w:val="28"/>
          <w:szCs w:val="28"/>
          <w:lang w:val="ru-RU"/>
        </w:rPr>
      </w:pPr>
    </w:p>
    <w:p w:rsidR="00070203" w:rsidRDefault="00070203" w:rsidP="00012F91">
      <w:pPr>
        <w:tabs>
          <w:tab w:val="left" w:pos="1140"/>
        </w:tabs>
        <w:rPr>
          <w:sz w:val="28"/>
          <w:szCs w:val="28"/>
          <w:lang w:val="ru-RU"/>
        </w:rPr>
      </w:pPr>
    </w:p>
    <w:p w:rsidR="00070203" w:rsidRDefault="00070203" w:rsidP="00012F91">
      <w:pPr>
        <w:tabs>
          <w:tab w:val="left" w:pos="1140"/>
        </w:tabs>
        <w:rPr>
          <w:sz w:val="28"/>
          <w:szCs w:val="28"/>
          <w:lang w:val="ru-RU"/>
        </w:rPr>
      </w:pPr>
    </w:p>
    <w:p w:rsidR="00070203" w:rsidRPr="00070203" w:rsidRDefault="00070203" w:rsidP="00070203">
      <w:pPr>
        <w:rPr>
          <w:sz w:val="28"/>
          <w:szCs w:val="28"/>
        </w:rPr>
      </w:pPr>
      <w:r w:rsidRPr="00070203">
        <w:rPr>
          <w:sz w:val="28"/>
          <w:szCs w:val="28"/>
        </w:rPr>
        <w:t xml:space="preserve">Директор  департаменту                                                                 </w:t>
      </w:r>
      <w:r>
        <w:rPr>
          <w:sz w:val="28"/>
          <w:szCs w:val="28"/>
        </w:rPr>
        <w:t xml:space="preserve"> </w:t>
      </w:r>
      <w:r w:rsidRPr="00070203">
        <w:rPr>
          <w:sz w:val="28"/>
          <w:szCs w:val="28"/>
        </w:rPr>
        <w:t xml:space="preserve">     Д. І. </w:t>
      </w:r>
      <w:proofErr w:type="spellStart"/>
      <w:r w:rsidRPr="00070203">
        <w:rPr>
          <w:sz w:val="28"/>
          <w:szCs w:val="28"/>
        </w:rPr>
        <w:t>Мовшин</w:t>
      </w:r>
      <w:proofErr w:type="spellEnd"/>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070203" w:rsidRDefault="00070203" w:rsidP="00070203">
      <w:pPr>
        <w:rPr>
          <w:sz w:val="16"/>
          <w:szCs w:val="16"/>
        </w:rPr>
      </w:pPr>
    </w:p>
    <w:p w:rsidR="00200E59" w:rsidRPr="00070203" w:rsidRDefault="00070203" w:rsidP="00070203">
      <w:pPr>
        <w:rPr>
          <w:sz w:val="16"/>
          <w:szCs w:val="16"/>
        </w:rPr>
      </w:pPr>
      <w:proofErr w:type="spellStart"/>
      <w:r w:rsidRPr="00BB4A18">
        <w:rPr>
          <w:sz w:val="16"/>
          <w:szCs w:val="16"/>
        </w:rPr>
        <w:t>Блудова</w:t>
      </w:r>
      <w:proofErr w:type="spellEnd"/>
      <w:r w:rsidRPr="00BB4A18">
        <w:rPr>
          <w:sz w:val="16"/>
          <w:szCs w:val="16"/>
        </w:rPr>
        <w:t xml:space="preserve"> Ганна Олексіївна 744</w:t>
      </w:r>
      <w:r>
        <w:rPr>
          <w:sz w:val="16"/>
          <w:szCs w:val="16"/>
        </w:rPr>
        <w:t xml:space="preserve"> </w:t>
      </w:r>
      <w:r w:rsidRPr="00BB4A18">
        <w:rPr>
          <w:sz w:val="16"/>
          <w:szCs w:val="16"/>
        </w:rPr>
        <w:t>84</w:t>
      </w:r>
      <w:r>
        <w:rPr>
          <w:sz w:val="16"/>
          <w:szCs w:val="16"/>
        </w:rPr>
        <w:t xml:space="preserve"> </w:t>
      </w:r>
      <w:r w:rsidRPr="00BB4A18">
        <w:rPr>
          <w:sz w:val="16"/>
          <w:szCs w:val="16"/>
        </w:rPr>
        <w:t>63</w:t>
      </w:r>
    </w:p>
    <w:sectPr w:rsidR="00200E59" w:rsidRPr="00070203" w:rsidSect="00414FC6">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4E9DA"/>
    <w:lvl w:ilvl="0">
      <w:numFmt w:val="bullet"/>
      <w:lvlText w:val="*"/>
      <w:lvlJc w:val="left"/>
    </w:lvl>
  </w:abstractNum>
  <w:abstractNum w:abstractNumId="1" w15:restartNumberingAfterBreak="0">
    <w:nsid w:val="245E64FB"/>
    <w:multiLevelType w:val="hybridMultilevel"/>
    <w:tmpl w:val="BF2C6C12"/>
    <w:lvl w:ilvl="0" w:tplc="8E12E5BA">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2CDD4E03"/>
    <w:multiLevelType w:val="hybridMultilevel"/>
    <w:tmpl w:val="EB604E5C"/>
    <w:lvl w:ilvl="0" w:tplc="6BE4752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EEE7DA1"/>
    <w:multiLevelType w:val="hybridMultilevel"/>
    <w:tmpl w:val="7876DA72"/>
    <w:lvl w:ilvl="0" w:tplc="C4CC4C32">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F9E6DE8"/>
    <w:multiLevelType w:val="hybridMultilevel"/>
    <w:tmpl w:val="894A750E"/>
    <w:lvl w:ilvl="0" w:tplc="D2EE90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lvl w:ilvl="0">
        <w:start w:val="65535"/>
        <w:numFmt w:val="bullet"/>
        <w:lvlText w:val="-"/>
        <w:legacy w:legacy="1" w:legacySpace="0" w:legacyIndent="100"/>
        <w:lvlJc w:val="left"/>
        <w:rPr>
          <w:rFonts w:ascii="Arial" w:hAnsi="Arial" w:cs="Aria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2B"/>
    <w:rsid w:val="00006780"/>
    <w:rsid w:val="00012F91"/>
    <w:rsid w:val="0003046D"/>
    <w:rsid w:val="0006034D"/>
    <w:rsid w:val="000615EE"/>
    <w:rsid w:val="00066A9A"/>
    <w:rsid w:val="00067E28"/>
    <w:rsid w:val="0007013F"/>
    <w:rsid w:val="00070203"/>
    <w:rsid w:val="00081460"/>
    <w:rsid w:val="000919BA"/>
    <w:rsid w:val="000950C1"/>
    <w:rsid w:val="000B24BC"/>
    <w:rsid w:val="000B71DF"/>
    <w:rsid w:val="000C2B85"/>
    <w:rsid w:val="000C4772"/>
    <w:rsid w:val="000C5053"/>
    <w:rsid w:val="000E2016"/>
    <w:rsid w:val="00105108"/>
    <w:rsid w:val="00107DC6"/>
    <w:rsid w:val="00112685"/>
    <w:rsid w:val="001173C9"/>
    <w:rsid w:val="0013103D"/>
    <w:rsid w:val="00137298"/>
    <w:rsid w:val="00140B08"/>
    <w:rsid w:val="00145725"/>
    <w:rsid w:val="00145836"/>
    <w:rsid w:val="00156931"/>
    <w:rsid w:val="00167808"/>
    <w:rsid w:val="0018124A"/>
    <w:rsid w:val="001C18EE"/>
    <w:rsid w:val="001D0FF1"/>
    <w:rsid w:val="001D1F34"/>
    <w:rsid w:val="001D70A0"/>
    <w:rsid w:val="001E15CB"/>
    <w:rsid w:val="001F033A"/>
    <w:rsid w:val="001F2B8E"/>
    <w:rsid w:val="00200E59"/>
    <w:rsid w:val="00203BBB"/>
    <w:rsid w:val="00215348"/>
    <w:rsid w:val="0022113F"/>
    <w:rsid w:val="00222039"/>
    <w:rsid w:val="00242CB1"/>
    <w:rsid w:val="002541FD"/>
    <w:rsid w:val="00271897"/>
    <w:rsid w:val="00290626"/>
    <w:rsid w:val="002A02B4"/>
    <w:rsid w:val="002D2CE8"/>
    <w:rsid w:val="002D62AE"/>
    <w:rsid w:val="0031338B"/>
    <w:rsid w:val="0034495F"/>
    <w:rsid w:val="00352266"/>
    <w:rsid w:val="003963AC"/>
    <w:rsid w:val="003B25F4"/>
    <w:rsid w:val="003B276C"/>
    <w:rsid w:val="003B4685"/>
    <w:rsid w:val="003C08B8"/>
    <w:rsid w:val="003E6DF5"/>
    <w:rsid w:val="003E79F6"/>
    <w:rsid w:val="003F2747"/>
    <w:rsid w:val="003F6141"/>
    <w:rsid w:val="00405F0B"/>
    <w:rsid w:val="00414FC6"/>
    <w:rsid w:val="004243E1"/>
    <w:rsid w:val="00433DFB"/>
    <w:rsid w:val="0043501F"/>
    <w:rsid w:val="00454C9D"/>
    <w:rsid w:val="0046657F"/>
    <w:rsid w:val="004748B5"/>
    <w:rsid w:val="004826A9"/>
    <w:rsid w:val="00485EA0"/>
    <w:rsid w:val="004A2560"/>
    <w:rsid w:val="004A377D"/>
    <w:rsid w:val="004A67D1"/>
    <w:rsid w:val="004C439D"/>
    <w:rsid w:val="004E026A"/>
    <w:rsid w:val="004E51C6"/>
    <w:rsid w:val="00507170"/>
    <w:rsid w:val="00516006"/>
    <w:rsid w:val="00537579"/>
    <w:rsid w:val="005438C7"/>
    <w:rsid w:val="00576ECA"/>
    <w:rsid w:val="005A2463"/>
    <w:rsid w:val="005A5AAE"/>
    <w:rsid w:val="005B4447"/>
    <w:rsid w:val="005F351D"/>
    <w:rsid w:val="00600D59"/>
    <w:rsid w:val="00616453"/>
    <w:rsid w:val="00622E27"/>
    <w:rsid w:val="00631A82"/>
    <w:rsid w:val="00650C8A"/>
    <w:rsid w:val="00656897"/>
    <w:rsid w:val="0066070B"/>
    <w:rsid w:val="00685B42"/>
    <w:rsid w:val="006920DA"/>
    <w:rsid w:val="0069516B"/>
    <w:rsid w:val="006B3B4E"/>
    <w:rsid w:val="006B40FE"/>
    <w:rsid w:val="006C129A"/>
    <w:rsid w:val="006D1A6C"/>
    <w:rsid w:val="006D2571"/>
    <w:rsid w:val="006F1F0A"/>
    <w:rsid w:val="00711B6D"/>
    <w:rsid w:val="00721D6F"/>
    <w:rsid w:val="007408B5"/>
    <w:rsid w:val="007518D7"/>
    <w:rsid w:val="007608A7"/>
    <w:rsid w:val="00775A05"/>
    <w:rsid w:val="0078667F"/>
    <w:rsid w:val="0079592B"/>
    <w:rsid w:val="007B725B"/>
    <w:rsid w:val="007C53B5"/>
    <w:rsid w:val="007F1563"/>
    <w:rsid w:val="007F695F"/>
    <w:rsid w:val="00810054"/>
    <w:rsid w:val="00817B13"/>
    <w:rsid w:val="008360C3"/>
    <w:rsid w:val="00862033"/>
    <w:rsid w:val="00875EAC"/>
    <w:rsid w:val="00881348"/>
    <w:rsid w:val="00892B37"/>
    <w:rsid w:val="00893369"/>
    <w:rsid w:val="00893DA2"/>
    <w:rsid w:val="00895496"/>
    <w:rsid w:val="00896665"/>
    <w:rsid w:val="008B02BF"/>
    <w:rsid w:val="008B1232"/>
    <w:rsid w:val="008C1049"/>
    <w:rsid w:val="008D5329"/>
    <w:rsid w:val="00901BAA"/>
    <w:rsid w:val="00975933"/>
    <w:rsid w:val="00991736"/>
    <w:rsid w:val="00991C2D"/>
    <w:rsid w:val="009B38E3"/>
    <w:rsid w:val="00A06715"/>
    <w:rsid w:val="00A075E8"/>
    <w:rsid w:val="00A10AAF"/>
    <w:rsid w:val="00A16E93"/>
    <w:rsid w:val="00A35735"/>
    <w:rsid w:val="00A37C10"/>
    <w:rsid w:val="00A4236D"/>
    <w:rsid w:val="00A47F51"/>
    <w:rsid w:val="00A50D5C"/>
    <w:rsid w:val="00A52CA0"/>
    <w:rsid w:val="00A560A4"/>
    <w:rsid w:val="00A652AB"/>
    <w:rsid w:val="00A70B6D"/>
    <w:rsid w:val="00A71824"/>
    <w:rsid w:val="00A77447"/>
    <w:rsid w:val="00A85B16"/>
    <w:rsid w:val="00A933D4"/>
    <w:rsid w:val="00AA3DA1"/>
    <w:rsid w:val="00AA47EB"/>
    <w:rsid w:val="00AA6C3A"/>
    <w:rsid w:val="00AB03A8"/>
    <w:rsid w:val="00AB4685"/>
    <w:rsid w:val="00AB7CB0"/>
    <w:rsid w:val="00AE1971"/>
    <w:rsid w:val="00B210D0"/>
    <w:rsid w:val="00B231CD"/>
    <w:rsid w:val="00B32B08"/>
    <w:rsid w:val="00B44759"/>
    <w:rsid w:val="00B467D6"/>
    <w:rsid w:val="00B53CE2"/>
    <w:rsid w:val="00B67354"/>
    <w:rsid w:val="00B770D8"/>
    <w:rsid w:val="00B92DED"/>
    <w:rsid w:val="00B96080"/>
    <w:rsid w:val="00BC1362"/>
    <w:rsid w:val="00BC691F"/>
    <w:rsid w:val="00BE0C34"/>
    <w:rsid w:val="00BE39A2"/>
    <w:rsid w:val="00BF2890"/>
    <w:rsid w:val="00BF57D1"/>
    <w:rsid w:val="00C13FA4"/>
    <w:rsid w:val="00C1526F"/>
    <w:rsid w:val="00C2283D"/>
    <w:rsid w:val="00C31E14"/>
    <w:rsid w:val="00C46BFC"/>
    <w:rsid w:val="00C571BE"/>
    <w:rsid w:val="00C85F7F"/>
    <w:rsid w:val="00C94B05"/>
    <w:rsid w:val="00CB2BBC"/>
    <w:rsid w:val="00CC1C7A"/>
    <w:rsid w:val="00CE3ABA"/>
    <w:rsid w:val="00CF2E7B"/>
    <w:rsid w:val="00D26CFA"/>
    <w:rsid w:val="00D37831"/>
    <w:rsid w:val="00D44570"/>
    <w:rsid w:val="00D46D6F"/>
    <w:rsid w:val="00D50C73"/>
    <w:rsid w:val="00D5266D"/>
    <w:rsid w:val="00D6083A"/>
    <w:rsid w:val="00D634EF"/>
    <w:rsid w:val="00D80703"/>
    <w:rsid w:val="00D81A1D"/>
    <w:rsid w:val="00D95681"/>
    <w:rsid w:val="00DA1B9A"/>
    <w:rsid w:val="00DA3B75"/>
    <w:rsid w:val="00DA7378"/>
    <w:rsid w:val="00DD4E12"/>
    <w:rsid w:val="00DE10AC"/>
    <w:rsid w:val="00E04F47"/>
    <w:rsid w:val="00E1188C"/>
    <w:rsid w:val="00E140B5"/>
    <w:rsid w:val="00E2086D"/>
    <w:rsid w:val="00E26237"/>
    <w:rsid w:val="00E73E77"/>
    <w:rsid w:val="00E93D83"/>
    <w:rsid w:val="00E94BDA"/>
    <w:rsid w:val="00EA7312"/>
    <w:rsid w:val="00EB68E4"/>
    <w:rsid w:val="00EC424F"/>
    <w:rsid w:val="00ED0B15"/>
    <w:rsid w:val="00ED4D84"/>
    <w:rsid w:val="00ED5569"/>
    <w:rsid w:val="00F027F0"/>
    <w:rsid w:val="00F03D76"/>
    <w:rsid w:val="00F06F53"/>
    <w:rsid w:val="00F10EE6"/>
    <w:rsid w:val="00F11CAF"/>
    <w:rsid w:val="00F1460B"/>
    <w:rsid w:val="00F14959"/>
    <w:rsid w:val="00F177A9"/>
    <w:rsid w:val="00F20C52"/>
    <w:rsid w:val="00F237DC"/>
    <w:rsid w:val="00F35945"/>
    <w:rsid w:val="00F50AE5"/>
    <w:rsid w:val="00F635A4"/>
    <w:rsid w:val="00F63F6B"/>
    <w:rsid w:val="00F741F8"/>
    <w:rsid w:val="00F76A33"/>
    <w:rsid w:val="00F92BB0"/>
    <w:rsid w:val="00F973BA"/>
    <w:rsid w:val="00FB4CB4"/>
    <w:rsid w:val="00FD6A9E"/>
    <w:rsid w:val="00FE3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B712"/>
  <w15:docId w15:val="{4B765F53-C681-4D40-8B74-39FD57A3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10EE6"/>
  </w:style>
  <w:style w:type="paragraph" w:styleId="a3">
    <w:name w:val="Normal (Web)"/>
    <w:basedOn w:val="a"/>
    <w:uiPriority w:val="99"/>
    <w:rsid w:val="00F10EE6"/>
    <w:pPr>
      <w:spacing w:before="100" w:beforeAutospacing="1" w:after="100" w:afterAutospacing="1"/>
    </w:pPr>
    <w:rPr>
      <w:lang w:val="ru-RU"/>
    </w:rPr>
  </w:style>
  <w:style w:type="character" w:customStyle="1" w:styleId="apple-converted-space">
    <w:name w:val="apple-converted-space"/>
    <w:basedOn w:val="a0"/>
    <w:uiPriority w:val="99"/>
    <w:rsid w:val="00F10EE6"/>
    <w:rPr>
      <w:rFonts w:cs="Times New Roman"/>
    </w:rPr>
  </w:style>
  <w:style w:type="paragraph" w:styleId="a4">
    <w:name w:val="Title"/>
    <w:basedOn w:val="a"/>
    <w:link w:val="a5"/>
    <w:qFormat/>
    <w:rsid w:val="00200E59"/>
    <w:pPr>
      <w:jc w:val="center"/>
    </w:pPr>
    <w:rPr>
      <w:szCs w:val="20"/>
    </w:rPr>
  </w:style>
  <w:style w:type="character" w:customStyle="1" w:styleId="a5">
    <w:name w:val="Заголовок Знак"/>
    <w:basedOn w:val="a0"/>
    <w:link w:val="a4"/>
    <w:rsid w:val="00200E59"/>
    <w:rPr>
      <w:rFonts w:ascii="Times New Roman" w:eastAsia="Times New Roman" w:hAnsi="Times New Roman" w:cs="Times New Roman"/>
      <w:sz w:val="24"/>
      <w:szCs w:val="20"/>
      <w:lang w:eastAsia="ru-RU"/>
    </w:rPr>
  </w:style>
  <w:style w:type="paragraph" w:styleId="a6">
    <w:name w:val="Body Text"/>
    <w:basedOn w:val="a"/>
    <w:link w:val="a7"/>
    <w:rsid w:val="00200E59"/>
    <w:pPr>
      <w:jc w:val="both"/>
    </w:pPr>
    <w:rPr>
      <w:sz w:val="28"/>
      <w:szCs w:val="20"/>
    </w:rPr>
  </w:style>
  <w:style w:type="character" w:customStyle="1" w:styleId="a7">
    <w:name w:val="Основной текст Знак"/>
    <w:basedOn w:val="a0"/>
    <w:link w:val="a6"/>
    <w:rsid w:val="00200E59"/>
    <w:rPr>
      <w:rFonts w:ascii="Times New Roman" w:eastAsia="Times New Roman" w:hAnsi="Times New Roman" w:cs="Times New Roman"/>
      <w:sz w:val="28"/>
      <w:szCs w:val="20"/>
      <w:lang w:eastAsia="ru-RU"/>
    </w:rPr>
  </w:style>
  <w:style w:type="character" w:styleId="a8">
    <w:name w:val="Hyperlink"/>
    <w:rsid w:val="00200E59"/>
    <w:rPr>
      <w:color w:val="0000FF"/>
      <w:u w:val="single"/>
    </w:rPr>
  </w:style>
  <w:style w:type="paragraph" w:styleId="a9">
    <w:name w:val="List Paragraph"/>
    <w:basedOn w:val="a"/>
    <w:uiPriority w:val="34"/>
    <w:qFormat/>
    <w:rsid w:val="00167808"/>
    <w:pPr>
      <w:ind w:left="720"/>
      <w:contextualSpacing/>
    </w:pPr>
  </w:style>
  <w:style w:type="paragraph" w:styleId="2">
    <w:name w:val="Body Text 2"/>
    <w:basedOn w:val="a"/>
    <w:link w:val="20"/>
    <w:uiPriority w:val="99"/>
    <w:unhideWhenUsed/>
    <w:rsid w:val="00405F0B"/>
    <w:pPr>
      <w:spacing w:after="120" w:line="480" w:lineRule="auto"/>
    </w:pPr>
  </w:style>
  <w:style w:type="character" w:customStyle="1" w:styleId="20">
    <w:name w:val="Основной текст 2 Знак"/>
    <w:basedOn w:val="a0"/>
    <w:link w:val="2"/>
    <w:uiPriority w:val="99"/>
    <w:rsid w:val="00405F0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05F0B"/>
    <w:rPr>
      <w:rFonts w:ascii="Segoe UI" w:hAnsi="Segoe UI" w:cs="Segoe UI"/>
      <w:sz w:val="18"/>
      <w:szCs w:val="18"/>
    </w:rPr>
  </w:style>
  <w:style w:type="character" w:customStyle="1" w:styleId="ab">
    <w:name w:val="Текст выноски Знак"/>
    <w:basedOn w:val="a0"/>
    <w:link w:val="aa"/>
    <w:uiPriority w:val="99"/>
    <w:semiHidden/>
    <w:rsid w:val="00405F0B"/>
    <w:rPr>
      <w:rFonts w:ascii="Segoe UI" w:eastAsia="Times New Roman" w:hAnsi="Segoe UI" w:cs="Segoe UI"/>
      <w:sz w:val="18"/>
      <w:szCs w:val="18"/>
      <w:lang w:eastAsia="ru-RU"/>
    </w:rPr>
  </w:style>
  <w:style w:type="table" w:styleId="ac">
    <w:name w:val="Table Grid"/>
    <w:basedOn w:val="a1"/>
    <w:uiPriority w:val="39"/>
    <w:rsid w:val="0014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0"/>
    <w:rsid w:val="00433DFB"/>
    <w:rPr>
      <w:rFonts w:ascii="Lucida Sans Unicode" w:eastAsia="Lucida Sans Unicode" w:hAnsi="Lucida Sans Unicode" w:cs="Lucida Sans Unicode"/>
      <w:b w:val="0"/>
      <w:bCs w:val="0"/>
      <w:i w:val="0"/>
      <w:iCs w:val="0"/>
      <w:smallCaps w:val="0"/>
      <w:strike w:val="0"/>
      <w:color w:val="000000"/>
      <w:spacing w:val="8"/>
      <w:w w:val="100"/>
      <w:position w:val="0"/>
      <w:sz w:val="22"/>
      <w:szCs w:val="22"/>
      <w:u w:val="none"/>
      <w:shd w:val="clear" w:color="auto" w:fill="FFFFFF"/>
      <w:lang w:val="uk-UA"/>
    </w:rPr>
  </w:style>
  <w:style w:type="character" w:customStyle="1" w:styleId="1">
    <w:name w:val="Основной текст1"/>
    <w:basedOn w:val="a0"/>
    <w:rsid w:val="00433DFB"/>
    <w:rPr>
      <w:rFonts w:ascii="Lucida Sans Unicode" w:eastAsia="Lucida Sans Unicode" w:hAnsi="Lucida Sans Unicode" w:cs="Lucida Sans Unicode"/>
      <w:b w:val="0"/>
      <w:bCs w:val="0"/>
      <w:i w:val="0"/>
      <w:iCs w:val="0"/>
      <w:smallCaps w:val="0"/>
      <w:strike w:val="0"/>
      <w:color w:val="000000"/>
      <w:spacing w:val="1"/>
      <w:w w:val="100"/>
      <w:position w:val="0"/>
      <w:sz w:val="22"/>
      <w:szCs w:val="22"/>
      <w:u w:val="none"/>
      <w:shd w:val="clear" w:color="auto" w:fill="FFFFFF"/>
      <w:lang w:val="uk-UA"/>
    </w:rPr>
  </w:style>
  <w:style w:type="character" w:styleId="ad">
    <w:name w:val="Placeholder Text"/>
    <w:basedOn w:val="a0"/>
    <w:uiPriority w:val="99"/>
    <w:semiHidden/>
    <w:rsid w:val="00E04F47"/>
    <w:rPr>
      <w:color w:val="808080"/>
    </w:rPr>
  </w:style>
  <w:style w:type="character" w:customStyle="1" w:styleId="ae">
    <w:name w:val="Основной текст_"/>
    <w:basedOn w:val="a0"/>
    <w:link w:val="21"/>
    <w:rsid w:val="00AA6C3A"/>
    <w:rPr>
      <w:rFonts w:ascii="Lucida Sans Unicode" w:eastAsia="Lucida Sans Unicode" w:hAnsi="Lucida Sans Unicode" w:cs="Lucida Sans Unicode"/>
      <w:spacing w:val="1"/>
      <w:shd w:val="clear" w:color="auto" w:fill="FFFFFF"/>
    </w:rPr>
  </w:style>
  <w:style w:type="paragraph" w:customStyle="1" w:styleId="21">
    <w:name w:val="Основной текст2"/>
    <w:basedOn w:val="a"/>
    <w:link w:val="ae"/>
    <w:rsid w:val="00AA6C3A"/>
    <w:pPr>
      <w:widowControl w:val="0"/>
      <w:shd w:val="clear" w:color="auto" w:fill="FFFFFF"/>
      <w:spacing w:line="312" w:lineRule="exact"/>
      <w:jc w:val="center"/>
    </w:pPr>
    <w:rPr>
      <w:rFonts w:ascii="Lucida Sans Unicode" w:eastAsia="Lucida Sans Unicode" w:hAnsi="Lucida Sans Unicode" w:cs="Lucida Sans Unicode"/>
      <w:spacing w:val="1"/>
      <w:sz w:val="22"/>
      <w:szCs w:val="22"/>
      <w:lang w:eastAsia="en-US"/>
    </w:rPr>
  </w:style>
  <w:style w:type="paragraph" w:styleId="HTML">
    <w:name w:val="HTML Preformatted"/>
    <w:basedOn w:val="a"/>
    <w:link w:val="HTML0"/>
    <w:uiPriority w:val="99"/>
    <w:unhideWhenUsed/>
    <w:rsid w:val="00AA6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AA6C3A"/>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60B0-762E-4D6B-88DF-CAE692D1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3340</Words>
  <Characters>1905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Володимирівна Мороз</cp:lastModifiedBy>
  <cp:revision>3</cp:revision>
  <cp:lastPrinted>2019-07-10T11:38:00Z</cp:lastPrinted>
  <dcterms:created xsi:type="dcterms:W3CDTF">2019-09-17T14:38:00Z</dcterms:created>
  <dcterms:modified xsi:type="dcterms:W3CDTF">2019-09-17T14:39:00Z</dcterms:modified>
</cp:coreProperties>
</file>