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16" w:rsidRDefault="00C7345C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  <w:b/>
          <w:bCs/>
        </w:rPr>
        <w:t>Звіт</w:t>
      </w:r>
      <w:bookmarkEnd w:id="0"/>
    </w:p>
    <w:p w:rsidR="006C6916" w:rsidRDefault="00C7345C">
      <w:pPr>
        <w:pStyle w:val="20"/>
        <w:shd w:val="clear" w:color="auto" w:fill="auto"/>
        <w:ind w:left="1700"/>
      </w:pPr>
      <w:r>
        <w:rPr>
          <w:rStyle w:val="21"/>
        </w:rPr>
        <w:t>про періодичне відстеження результативності регуляторного акта - рішення Дніпровської міської ради від 21.12.2016 № 38/17</w:t>
      </w:r>
    </w:p>
    <w:p w:rsidR="006C6916" w:rsidRDefault="00C7345C">
      <w:pPr>
        <w:pStyle w:val="20"/>
        <w:shd w:val="clear" w:color="auto" w:fill="auto"/>
        <w:ind w:firstLine="740"/>
        <w:jc w:val="both"/>
      </w:pPr>
      <w:r>
        <w:rPr>
          <w:rStyle w:val="21"/>
        </w:rPr>
        <w:t>«Про затвердження Правил паркування транспортних засобів на території</w:t>
      </w:r>
    </w:p>
    <w:p w:rsidR="006C6916" w:rsidRDefault="00C7345C">
      <w:pPr>
        <w:pStyle w:val="20"/>
        <w:shd w:val="clear" w:color="auto" w:fill="auto"/>
        <w:spacing w:after="289"/>
        <w:ind w:firstLine="0"/>
        <w:jc w:val="center"/>
      </w:pPr>
      <w:r>
        <w:rPr>
          <w:rStyle w:val="21"/>
        </w:rPr>
        <w:t>міста Дніпра» (зі змінами)</w:t>
      </w:r>
    </w:p>
    <w:p w:rsidR="006C6916" w:rsidRDefault="00C7345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8"/>
        </w:tabs>
        <w:spacing w:line="260" w:lineRule="exact"/>
        <w:ind w:firstLine="740"/>
        <w:jc w:val="both"/>
      </w:pPr>
      <w:bookmarkStart w:id="1" w:name="bookmark1"/>
      <w:r>
        <w:rPr>
          <w:rStyle w:val="11"/>
          <w:b/>
          <w:bCs/>
        </w:rPr>
        <w:t xml:space="preserve">Вид та назва регуляторного </w:t>
      </w:r>
      <w:r>
        <w:rPr>
          <w:rStyle w:val="11"/>
          <w:b/>
          <w:bCs/>
        </w:rPr>
        <w:t>акта:</w:t>
      </w:r>
      <w:bookmarkEnd w:id="1"/>
    </w:p>
    <w:p w:rsidR="006C6916" w:rsidRDefault="00C7345C">
      <w:pPr>
        <w:pStyle w:val="20"/>
        <w:shd w:val="clear" w:color="auto" w:fill="auto"/>
        <w:spacing w:after="240"/>
        <w:ind w:firstLine="740"/>
        <w:jc w:val="both"/>
      </w:pPr>
      <w:r>
        <w:rPr>
          <w:rStyle w:val="21"/>
        </w:rPr>
        <w:t xml:space="preserve">Рішення Дніпровської міської ради від 21.12.2016 № 38/17 «Про затвердження Правил паркування транспортних засобів на території міста Дніпра» (зі змінами), </w:t>
      </w:r>
      <w:r w:rsidR="00E82CC5">
        <w:rPr>
          <w:rStyle w:val="21"/>
        </w:rPr>
        <w:t xml:space="preserve">            </w:t>
      </w:r>
      <w:r>
        <w:rPr>
          <w:rStyle w:val="21"/>
        </w:rPr>
        <w:t>далі - РА.</w:t>
      </w:r>
    </w:p>
    <w:p w:rsidR="006C6916" w:rsidRPr="00E82CC5" w:rsidRDefault="00C7345C" w:rsidP="00E82CC5">
      <w:pPr>
        <w:pStyle w:val="30"/>
        <w:numPr>
          <w:ilvl w:val="0"/>
          <w:numId w:val="1"/>
        </w:numPr>
        <w:shd w:val="clear" w:color="auto" w:fill="auto"/>
        <w:tabs>
          <w:tab w:val="left" w:pos="1232"/>
          <w:tab w:val="left" w:pos="6063"/>
        </w:tabs>
        <w:spacing w:before="0" w:after="289"/>
        <w:ind w:firstLine="709"/>
        <w:rPr>
          <w:b w:val="0"/>
        </w:rPr>
      </w:pPr>
      <w:r>
        <w:rPr>
          <w:rStyle w:val="31"/>
          <w:b/>
          <w:bCs/>
        </w:rPr>
        <w:t>Виконавець заходів відстеження:</w:t>
      </w:r>
      <w:r w:rsidRPr="00E82CC5">
        <w:rPr>
          <w:rStyle w:val="32"/>
        </w:rPr>
        <w:t xml:space="preserve">департамент транспорту </w:t>
      </w:r>
      <w:r w:rsidRPr="00E82CC5">
        <w:rPr>
          <w:rStyle w:val="32"/>
        </w:rPr>
        <w:t>та</w:t>
      </w:r>
      <w:r w:rsidR="00E82CC5" w:rsidRPr="00E82CC5">
        <w:rPr>
          <w:rStyle w:val="32"/>
          <w:b/>
          <w:lang w:val="ru-RU"/>
        </w:rPr>
        <w:t xml:space="preserve"> </w:t>
      </w:r>
      <w:r w:rsidR="00E82CC5">
        <w:rPr>
          <w:rStyle w:val="21"/>
          <w:b w:val="0"/>
        </w:rPr>
        <w:t>т</w:t>
      </w:r>
      <w:r w:rsidRPr="00E82CC5">
        <w:rPr>
          <w:rStyle w:val="21"/>
          <w:b w:val="0"/>
        </w:rPr>
        <w:t>ранс</w:t>
      </w:r>
      <w:r w:rsidRPr="00E82CC5">
        <w:rPr>
          <w:rStyle w:val="21"/>
          <w:b w:val="0"/>
        </w:rPr>
        <w:t>порт</w:t>
      </w:r>
      <w:r w:rsidR="00E82CC5" w:rsidRPr="00E82CC5">
        <w:rPr>
          <w:rStyle w:val="21"/>
          <w:b w:val="0"/>
          <w:lang w:val="ru-RU"/>
        </w:rPr>
        <w:t>-</w:t>
      </w:r>
      <w:r w:rsidRPr="00E82CC5">
        <w:rPr>
          <w:rStyle w:val="21"/>
          <w:b w:val="0"/>
        </w:rPr>
        <w:t>ної інфраструктур</w:t>
      </w:r>
      <w:r w:rsidRPr="00E82CC5">
        <w:rPr>
          <w:rStyle w:val="21"/>
          <w:b w:val="0"/>
        </w:rPr>
        <w:t>и Дніпровської міської ради (далі - департамент).</w:t>
      </w:r>
    </w:p>
    <w:p w:rsidR="006C6916" w:rsidRDefault="00C7345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7"/>
        </w:tabs>
        <w:spacing w:after="352" w:line="260" w:lineRule="exact"/>
        <w:ind w:firstLine="740"/>
        <w:jc w:val="both"/>
      </w:pPr>
      <w:bookmarkStart w:id="2" w:name="bookmark2"/>
      <w:r>
        <w:rPr>
          <w:rStyle w:val="11"/>
          <w:b/>
          <w:bCs/>
        </w:rPr>
        <w:t>Ц</w:t>
      </w:r>
      <w:r>
        <w:rPr>
          <w:rStyle w:val="11"/>
          <w:b/>
          <w:bCs/>
        </w:rPr>
        <w:t>ілі прийняття регуляторного акта:</w:t>
      </w:r>
      <w:bookmarkEnd w:id="2"/>
    </w:p>
    <w:p w:rsidR="006C6916" w:rsidRDefault="00C7345C">
      <w:pPr>
        <w:pStyle w:val="20"/>
        <w:shd w:val="clear" w:color="auto" w:fill="auto"/>
        <w:spacing w:after="313" w:line="260" w:lineRule="exact"/>
        <w:ind w:firstLine="740"/>
        <w:jc w:val="both"/>
      </w:pPr>
      <w:r>
        <w:rPr>
          <w:rStyle w:val="21"/>
        </w:rPr>
        <w:t>Основними цілями прийняття регуляторного акта є:</w:t>
      </w:r>
    </w:p>
    <w:p w:rsidR="006C6916" w:rsidRDefault="00C7345C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ind w:firstLine="740"/>
        <w:jc w:val="both"/>
      </w:pPr>
      <w:r>
        <w:rPr>
          <w:rStyle w:val="21"/>
        </w:rPr>
        <w:t xml:space="preserve">стабілізація та упорядкування роботи місць для паркування, розташованих у місті, а також збільшення надходжень до бюджету </w:t>
      </w:r>
      <w:r>
        <w:rPr>
          <w:rStyle w:val="21"/>
        </w:rPr>
        <w:t>міста від збору за місця для паркування за рахунок встановлення контролю щодо справляння цього збору та збільшення кількості місць для паркування;</w:t>
      </w:r>
    </w:p>
    <w:p w:rsidR="006C6916" w:rsidRDefault="00C7345C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ind w:firstLine="740"/>
        <w:jc w:val="both"/>
      </w:pPr>
      <w:r>
        <w:rPr>
          <w:rStyle w:val="21"/>
        </w:rPr>
        <w:t>покращення естетичного вигляду та благоустрою міста;</w:t>
      </w:r>
    </w:p>
    <w:p w:rsidR="006C6916" w:rsidRDefault="00C7345C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ind w:firstLine="740"/>
        <w:jc w:val="both"/>
      </w:pPr>
      <w:r>
        <w:rPr>
          <w:rStyle w:val="21"/>
        </w:rPr>
        <w:t>здійснення інвентаризації спеціальних земельних ділянок,</w:t>
      </w:r>
      <w:r>
        <w:rPr>
          <w:rStyle w:val="21"/>
        </w:rPr>
        <w:t xml:space="preserve"> відведених для організації та провадження діяльності із забезпечення паркування транспортних засобів на території міста та визначення нових земельних ділянок для проведення вищезазначеної діяльності;</w:t>
      </w:r>
    </w:p>
    <w:p w:rsidR="006C6916" w:rsidRDefault="00C7345C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after="289"/>
        <w:ind w:firstLine="740"/>
        <w:jc w:val="both"/>
      </w:pPr>
      <w:r>
        <w:rPr>
          <w:rStyle w:val="21"/>
        </w:rPr>
        <w:t>направлення додаткових надходжень від збору за місця дл</w:t>
      </w:r>
      <w:r>
        <w:rPr>
          <w:rStyle w:val="21"/>
        </w:rPr>
        <w:t>я паркування на реалізацію заходів програм соціально-економічного розвитку та збільшення фінансування соціальної сфери.</w:t>
      </w:r>
    </w:p>
    <w:p w:rsidR="006C6916" w:rsidRDefault="00C7345C">
      <w:pPr>
        <w:pStyle w:val="30"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362" w:line="260" w:lineRule="exact"/>
      </w:pPr>
      <w:r>
        <w:rPr>
          <w:rStyle w:val="31"/>
          <w:b/>
          <w:bCs/>
        </w:rPr>
        <w:t xml:space="preserve">Строк виконання заходів з відстеження: </w:t>
      </w:r>
      <w:r>
        <w:rPr>
          <w:rStyle w:val="32"/>
        </w:rPr>
        <w:t>з 01.05.2024 по 04.06.2024.</w:t>
      </w:r>
    </w:p>
    <w:p w:rsidR="006C6916" w:rsidRDefault="00C7345C">
      <w:pPr>
        <w:pStyle w:val="30"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352" w:line="260" w:lineRule="exact"/>
      </w:pPr>
      <w:r>
        <w:rPr>
          <w:rStyle w:val="31"/>
          <w:b/>
          <w:bCs/>
        </w:rPr>
        <w:t xml:space="preserve">Тип відстеження: </w:t>
      </w:r>
      <w:r>
        <w:rPr>
          <w:rStyle w:val="32"/>
        </w:rPr>
        <w:t>періодичне.</w:t>
      </w:r>
    </w:p>
    <w:p w:rsidR="006C6916" w:rsidRDefault="00C7345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7"/>
        </w:tabs>
        <w:spacing w:after="300" w:line="260" w:lineRule="exact"/>
        <w:ind w:firstLine="740"/>
        <w:jc w:val="both"/>
      </w:pPr>
      <w:bookmarkStart w:id="3" w:name="bookmark3"/>
      <w:r>
        <w:rPr>
          <w:rStyle w:val="11"/>
          <w:b/>
          <w:bCs/>
        </w:rPr>
        <w:t xml:space="preserve">Методи одержання результатів відстеження: </w:t>
      </w:r>
      <w:r>
        <w:rPr>
          <w:rStyle w:val="12"/>
        </w:rPr>
        <w:t>статистичний.</w:t>
      </w:r>
      <w:bookmarkEnd w:id="3"/>
    </w:p>
    <w:p w:rsidR="006C6916" w:rsidRDefault="00C7345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32"/>
        </w:tabs>
        <w:spacing w:after="248" w:line="331" w:lineRule="exact"/>
        <w:ind w:firstLine="740"/>
        <w:jc w:val="both"/>
      </w:pPr>
      <w:bookmarkStart w:id="4" w:name="bookmark4"/>
      <w:r>
        <w:rPr>
          <w:rStyle w:val="11"/>
          <w:b/>
          <w:bCs/>
        </w:rPr>
        <w:t>Дані та припущення, на основі яких відстежувалась результативність, а також способи одержання даних.</w:t>
      </w:r>
      <w:bookmarkEnd w:id="4"/>
    </w:p>
    <w:p w:rsidR="006C6916" w:rsidRDefault="00C7345C">
      <w:pPr>
        <w:pStyle w:val="20"/>
        <w:shd w:val="clear" w:color="auto" w:fill="auto"/>
        <w:ind w:firstLine="740"/>
        <w:jc w:val="both"/>
        <w:sectPr w:rsidR="006C6916">
          <w:headerReference w:type="even" r:id="rId7"/>
          <w:pgSz w:w="11900" w:h="16840"/>
          <w:pgMar w:top="1180" w:right="668" w:bottom="1144" w:left="1521" w:header="0" w:footer="3" w:gutter="0"/>
          <w:cols w:space="720"/>
          <w:noEndnote/>
          <w:docGrid w:linePitch="360"/>
        </w:sectPr>
      </w:pPr>
      <w:r>
        <w:rPr>
          <w:rStyle w:val="21"/>
        </w:rPr>
        <w:t>Результативність РА визначалась шляхом аналізу наявної у департаменті інформації. Зокрема, для визначення кількісних показників результативності РА використано інформацію департаменту економіки, ф</w:t>
      </w:r>
      <w:r>
        <w:rPr>
          <w:rStyle w:val="21"/>
        </w:rPr>
        <w:t>інансів та міського бюджету Дніпровської міської ради, а також звітні показники Комунального підприємства «Транспортна інфраструктура міста» Дніпровської міської ради.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123"/>
        <w:gridCol w:w="1709"/>
        <w:gridCol w:w="1848"/>
        <w:gridCol w:w="1430"/>
      </w:tblGrid>
      <w:tr w:rsidR="006C691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22"/>
              </w:rPr>
              <w:lastRenderedPageBreak/>
              <w:t>№</w:t>
            </w:r>
          </w:p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line="260" w:lineRule="exact"/>
              <w:ind w:firstLine="0"/>
            </w:pPr>
            <w:r>
              <w:rPr>
                <w:rStyle w:val="22"/>
              </w:rPr>
              <w:t>з/п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Назва показника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360" w:firstLine="0"/>
            </w:pPr>
            <w:r>
              <w:rPr>
                <w:rStyle w:val="23"/>
              </w:rPr>
              <w:t>2022 рік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2023 рік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3"/>
              </w:rPr>
              <w:t>2024 рік (прогноз)</w:t>
            </w: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Кількісні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16" w:rsidRDefault="006C6916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22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 xml:space="preserve">Кількість </w:t>
            </w:r>
            <w:r>
              <w:rPr>
                <w:rStyle w:val="24"/>
              </w:rPr>
              <w:t>суб’єктів господа</w:t>
            </w:r>
            <w:r>
              <w:rPr>
                <w:rStyle w:val="24"/>
              </w:rPr>
              <w:softHyphen/>
              <w:t>рювання, які здійснюють господарську діяльність у сфері надання послуг з паркування, од.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119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129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136</w:t>
            </w: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22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Кількість майданчиків для платного паркування транс</w:t>
            </w:r>
            <w:r>
              <w:rPr>
                <w:rStyle w:val="24"/>
              </w:rPr>
              <w:softHyphen/>
              <w:t>портних засобів у місті Дніпрі, од.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922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932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933</w:t>
            </w: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22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4"/>
              </w:rPr>
              <w:t>Кількість місць для паркування,</w:t>
            </w:r>
            <w:r>
              <w:rPr>
                <w:rStyle w:val="24"/>
              </w:rPr>
              <w:t xml:space="preserve"> од.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25 054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25 053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340" w:firstLine="0"/>
            </w:pPr>
            <w:r>
              <w:rPr>
                <w:rStyle w:val="24"/>
              </w:rPr>
              <w:t>24 786</w:t>
            </w: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22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Обсяг надходжень збору за міс</w:t>
            </w:r>
            <w:r>
              <w:rPr>
                <w:rStyle w:val="24"/>
              </w:rPr>
              <w:softHyphen/>
              <w:t>ця для паркування, тис. грн.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360" w:firstLine="0"/>
            </w:pPr>
            <w:r>
              <w:rPr>
                <w:rStyle w:val="24"/>
              </w:rPr>
              <w:t>25 595, 5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45 454, 5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4"/>
              </w:rPr>
              <w:t>41 858,7</w:t>
            </w: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Якісні (у бальній системі)</w:t>
            </w:r>
            <w:r>
              <w:rPr>
                <w:rStyle w:val="275pt"/>
                <w:b w:val="0"/>
                <w:bCs w:val="0"/>
              </w:rPr>
              <w:t xml:space="preserve"> 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916" w:rsidRDefault="006C6916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22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Рівень благоустрою місць для паркування, покращення есте</w:t>
            </w:r>
            <w:r>
              <w:rPr>
                <w:rStyle w:val="24"/>
              </w:rPr>
              <w:softHyphen/>
              <w:t>тичного вигляду міста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220" w:firstLine="0"/>
            </w:pPr>
            <w:r>
              <w:rPr>
                <w:rStyle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24"/>
              </w:rPr>
              <w:t xml:space="preserve">Рівень зручності </w:t>
            </w:r>
            <w:r>
              <w:rPr>
                <w:rStyle w:val="24"/>
              </w:rPr>
              <w:t>користування місцями для паркування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6C6916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left="220" w:firstLine="0"/>
            </w:pPr>
            <w:r>
              <w:rPr>
                <w:rStyle w:val="25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Рівень інформованості суб’єктів господарювання щодо основних положень регуляторного акта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16" w:rsidRDefault="00C7345C">
            <w:pPr>
              <w:pStyle w:val="20"/>
              <w:framePr w:w="966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</w:tbl>
    <w:p w:rsidR="006C6916" w:rsidRDefault="00C7345C">
      <w:pPr>
        <w:pStyle w:val="a5"/>
        <w:framePr w:w="9662" w:wrap="notBeside" w:vAnchor="text" w:hAnchor="text" w:xAlign="center" w:y="1"/>
        <w:shd w:val="clear" w:color="auto" w:fill="auto"/>
        <w:ind w:firstLine="0"/>
      </w:pPr>
      <w:r>
        <w:rPr>
          <w:rStyle w:val="a6"/>
          <w:i/>
          <w:iCs/>
        </w:rPr>
        <w:t>Юцінку здійснено за 4-бальною системою, з яких 4</w:t>
      </w:r>
      <w:r>
        <w:rPr>
          <w:rStyle w:val="4pt"/>
        </w:rPr>
        <w:t xml:space="preserve"> - </w:t>
      </w:r>
      <w:r>
        <w:rPr>
          <w:rStyle w:val="a6"/>
          <w:i/>
          <w:iCs/>
        </w:rPr>
        <w:t xml:space="preserve">досягнуто у високій мірі результат якісного показника, 3 - </w:t>
      </w:r>
      <w:r>
        <w:rPr>
          <w:rStyle w:val="a6"/>
          <w:i/>
          <w:iCs/>
        </w:rPr>
        <w:t>досягнуто більше ніж на 50 % результат якісного показника, 2 - досягнуто менше ніж на 50 % результат якісного показника, 1 - практично не досягнуто.</w:t>
      </w:r>
    </w:p>
    <w:p w:rsidR="006C6916" w:rsidRDefault="006C6916">
      <w:pPr>
        <w:framePr w:w="9662" w:wrap="notBeside" w:vAnchor="text" w:hAnchor="text" w:xAlign="center" w:y="1"/>
        <w:rPr>
          <w:sz w:val="2"/>
          <w:szCs w:val="2"/>
        </w:rPr>
      </w:pPr>
    </w:p>
    <w:p w:rsidR="006C6916" w:rsidRDefault="006C6916">
      <w:pPr>
        <w:rPr>
          <w:sz w:val="2"/>
          <w:szCs w:val="2"/>
        </w:rPr>
      </w:pPr>
    </w:p>
    <w:p w:rsidR="006C6916" w:rsidRDefault="00C7345C">
      <w:pPr>
        <w:pStyle w:val="20"/>
        <w:shd w:val="clear" w:color="auto" w:fill="auto"/>
        <w:spacing w:before="240" w:after="349"/>
        <w:ind w:firstLine="760"/>
        <w:jc w:val="both"/>
      </w:pPr>
      <w:r>
        <w:rPr>
          <w:rStyle w:val="21"/>
        </w:rPr>
        <w:t xml:space="preserve">Підвищення рівня інформованості громадян щодо основних положень РА досягнуто шляхом оприлюднення його на </w:t>
      </w:r>
      <w:r>
        <w:rPr>
          <w:rStyle w:val="21"/>
        </w:rPr>
        <w:t>офіційному вебсайті Дніпровської міської ради у меню «Регуляторна політика» та у газеті «Наше місто».</w:t>
      </w:r>
    </w:p>
    <w:p w:rsidR="006C6916" w:rsidRDefault="00C7345C">
      <w:pPr>
        <w:pStyle w:val="10"/>
        <w:keepNext/>
        <w:keepLines/>
        <w:shd w:val="clear" w:color="auto" w:fill="auto"/>
        <w:spacing w:after="257" w:line="260" w:lineRule="exact"/>
        <w:ind w:firstLine="760"/>
        <w:jc w:val="both"/>
      </w:pPr>
      <w:bookmarkStart w:id="5" w:name="bookmark5"/>
      <w:r>
        <w:rPr>
          <w:rStyle w:val="11"/>
          <w:b/>
          <w:bCs/>
        </w:rPr>
        <w:t>9. Оцінка результатів реалізації регуляторного акта</w:t>
      </w:r>
      <w:bookmarkEnd w:id="5"/>
    </w:p>
    <w:p w:rsidR="006C6916" w:rsidRDefault="00C7345C">
      <w:pPr>
        <w:pStyle w:val="20"/>
        <w:shd w:val="clear" w:color="auto" w:fill="auto"/>
        <w:ind w:firstLine="620"/>
        <w:jc w:val="both"/>
      </w:pPr>
      <w:r>
        <w:rPr>
          <w:rStyle w:val="21"/>
        </w:rPr>
        <w:t>В цілому, прийняття цього РА є ефективним, забезпечує високий ступінь досягнення визначених цілей.</w:t>
      </w:r>
    </w:p>
    <w:p w:rsidR="006C6916" w:rsidRDefault="00C7345C">
      <w:pPr>
        <w:pStyle w:val="20"/>
        <w:shd w:val="clear" w:color="auto" w:fill="auto"/>
        <w:ind w:firstLine="620"/>
        <w:jc w:val="both"/>
        <w:sectPr w:rsidR="006C6916">
          <w:pgSz w:w="11900" w:h="16840"/>
          <w:pgMar w:top="2038" w:right="645" w:bottom="1210" w:left="1525" w:header="0" w:footer="3" w:gutter="0"/>
          <w:cols w:space="720"/>
          <w:noEndnote/>
          <w:docGrid w:linePitch="360"/>
        </w:sectPr>
      </w:pPr>
      <w:r>
        <w:rPr>
          <w:rStyle w:val="21"/>
        </w:rPr>
        <w:t>Протягом дії РА організація паркування транспортних засобів на вулично- дорожній мережі міста має позитивні результати. Залучення операторів з метою створення та утримання майданчиків для паркування сприяє організації достатньої кільк</w:t>
      </w:r>
      <w:r>
        <w:rPr>
          <w:rStyle w:val="21"/>
        </w:rPr>
        <w:t>ості машиномісць, нормалізації транспортних потоків, упередженню порушення правил паркування транспортних засобів, покращенню</w:t>
      </w:r>
    </w:p>
    <w:p w:rsidR="006C6916" w:rsidRDefault="00C7345C">
      <w:pPr>
        <w:pStyle w:val="20"/>
        <w:shd w:val="clear" w:color="auto" w:fill="auto"/>
        <w:ind w:firstLine="0"/>
        <w:jc w:val="both"/>
      </w:pPr>
      <w:r>
        <w:rPr>
          <w:rStyle w:val="21"/>
        </w:rPr>
        <w:lastRenderedPageBreak/>
        <w:t>роботи спецтехніки, отриманню додаткових надходжень до бюджетів за рахунок сплати збору за паркування та інших податків та платежі</w:t>
      </w:r>
      <w:r>
        <w:rPr>
          <w:rStyle w:val="21"/>
        </w:rPr>
        <w:t>в, економії бюджетних коштів на утримання майданчиків для паркування відповідними підрозділами міської ради. РА запроваджено чіткий механізм залучення таких операторів.</w:t>
      </w:r>
    </w:p>
    <w:p w:rsidR="006C6916" w:rsidRDefault="00C7345C">
      <w:pPr>
        <w:pStyle w:val="20"/>
        <w:shd w:val="clear" w:color="auto" w:fill="auto"/>
        <w:ind w:firstLine="600"/>
        <w:jc w:val="both"/>
      </w:pPr>
      <w:r>
        <w:rPr>
          <w:rStyle w:val="21"/>
        </w:rPr>
        <w:t>На цей час заплановано відновлення конкурсного відбору операторів, через Що доволі скла</w:t>
      </w:r>
      <w:r>
        <w:rPr>
          <w:rStyle w:val="21"/>
        </w:rPr>
        <w:t>дно спрогнозувати значення показників результативності РА.</w:t>
      </w:r>
    </w:p>
    <w:p w:rsidR="006C6916" w:rsidRDefault="00E82CC5">
      <w:pPr>
        <w:pStyle w:val="20"/>
        <w:shd w:val="clear" w:color="auto" w:fill="auto"/>
        <w:ind w:firstLine="600"/>
        <w:jc w:val="both"/>
        <w:sectPr w:rsidR="006C6916">
          <w:pgSz w:w="11900" w:h="16840"/>
          <w:pgMar w:top="1172" w:right="682" w:bottom="1330" w:left="1513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384810" distL="63500" distR="125857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1200150</wp:posOffset>
                </wp:positionV>
                <wp:extent cx="1222375" cy="165100"/>
                <wp:effectExtent l="1905" t="0" r="444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916" w:rsidRDefault="00C7345C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25pt;margin-top:94.5pt;width:96.25pt;height:13pt;z-index:-125829376;visibility:visible;mso-wrap-style:square;mso-width-percent:0;mso-height-percent:0;mso-wrap-distance-left:5pt;mso-wrap-distance-top:0;mso-wrap-distance-right:99.1pt;mso-wrap-distance-bottom:3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6W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" filled="f" stroked="f">
                <v:textbox style="mso-fit-shape-to-text:t" inset="0,0,0,0">
                  <w:txbxContent>
                    <w:p w:rsidR="006C6916" w:rsidRDefault="00C7345C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Міський голова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196850" distL="2008505" distR="63500" simplePos="0" relativeHeight="377487106" behindDoc="1" locked="0" layoutInCell="1" allowOverlap="1">
                <wp:simplePos x="0" y="0"/>
                <wp:positionH relativeFrom="margin">
                  <wp:posOffset>4831080</wp:posOffset>
                </wp:positionH>
                <wp:positionV relativeFrom="paragraph">
                  <wp:posOffset>1174750</wp:posOffset>
                </wp:positionV>
                <wp:extent cx="1350010" cy="189230"/>
                <wp:effectExtent l="635" t="2540" r="190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916" w:rsidRDefault="00C7345C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13ptExact"/>
                              </w:rPr>
                              <w:t xml:space="preserve">Борис ФІЛАТОВ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0.4pt;margin-top:92.5pt;width:106.3pt;height:14.9pt;z-index:-125829374;visibility:visible;mso-wrap-style:square;mso-width-percent:0;mso-height-percent:0;mso-wrap-distance-left:158.15pt;mso-wrap-distance-top:0;mso-wrap-distance-right:5pt;mso-wrap-distance-bottom:1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XesAIAALA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" filled="f" stroked="f">
                <v:textbox style="mso-fit-shape-to-text:t" inset="0,0,0,0">
                  <w:txbxContent>
                    <w:p w:rsidR="006C6916" w:rsidRDefault="00C7345C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13ptExact"/>
                        </w:rPr>
                        <w:t xml:space="preserve">Борис ФІЛАТОВ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7345C">
        <w:rPr>
          <w:rStyle w:val="21"/>
        </w:rPr>
        <w:t xml:space="preserve">Наступне періодичне відстеження буде проведено у строк, визначений Законом України «Про засади державної регуляторної </w:t>
      </w:r>
      <w:r w:rsidR="00C7345C">
        <w:rPr>
          <w:rStyle w:val="21"/>
        </w:rPr>
        <w:t>політики у сфері господарської діяльності».</w:t>
      </w: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  <w:bookmarkStart w:id="6" w:name="_GoBack"/>
      <w:bookmarkEnd w:id="6"/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line="240" w:lineRule="exact"/>
        <w:rPr>
          <w:sz w:val="19"/>
          <w:szCs w:val="19"/>
        </w:rPr>
      </w:pPr>
    </w:p>
    <w:p w:rsidR="006C6916" w:rsidRDefault="006C6916">
      <w:pPr>
        <w:spacing w:before="84" w:after="84" w:line="240" w:lineRule="exact"/>
        <w:rPr>
          <w:sz w:val="19"/>
          <w:szCs w:val="19"/>
        </w:rPr>
      </w:pPr>
    </w:p>
    <w:p w:rsidR="006C6916" w:rsidRDefault="006C6916">
      <w:pPr>
        <w:rPr>
          <w:sz w:val="2"/>
          <w:szCs w:val="2"/>
        </w:rPr>
        <w:sectPr w:rsidR="006C6916">
          <w:type w:val="continuous"/>
          <w:pgSz w:w="11900" w:h="16840"/>
          <w:pgMar w:top="1172" w:right="0" w:bottom="1172" w:left="0" w:header="0" w:footer="3" w:gutter="0"/>
          <w:cols w:space="720"/>
          <w:noEndnote/>
          <w:docGrid w:linePitch="360"/>
        </w:sectPr>
      </w:pPr>
    </w:p>
    <w:p w:rsidR="006C6916" w:rsidRDefault="00C7345C">
      <w:pPr>
        <w:pStyle w:val="50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 xml:space="preserve">Лещенко </w:t>
      </w:r>
      <w:r>
        <w:t>Олександр 745 75 50</w:t>
      </w:r>
    </w:p>
    <w:sectPr w:rsidR="006C6916">
      <w:type w:val="continuous"/>
      <w:pgSz w:w="11900" w:h="16840"/>
      <w:pgMar w:top="1172" w:right="682" w:bottom="1172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5C" w:rsidRDefault="00C7345C">
      <w:r>
        <w:separator/>
      </w:r>
    </w:p>
  </w:endnote>
  <w:endnote w:type="continuationSeparator" w:id="0">
    <w:p w:rsidR="00C7345C" w:rsidRDefault="00C7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5C" w:rsidRDefault="00C7345C"/>
  </w:footnote>
  <w:footnote w:type="continuationSeparator" w:id="0">
    <w:p w:rsidR="00C7345C" w:rsidRDefault="00C734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16" w:rsidRDefault="00E82CC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1453515</wp:posOffset>
              </wp:positionH>
              <wp:positionV relativeFrom="page">
                <wp:posOffset>956945</wp:posOffset>
              </wp:positionV>
              <wp:extent cx="5142230" cy="204470"/>
              <wp:effectExtent l="0" t="444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916" w:rsidRDefault="00C7345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8. Кількісні та якісні зн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ачення показників результативності РА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4.45pt;margin-top:75.35pt;width:404.9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OAqgIAAKc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" filled="f" stroked="f">
              <v:textbox style="mso-fit-shape-to-text:t" inset="0,0,0,0">
                <w:txbxContent>
                  <w:p w:rsidR="006C6916" w:rsidRDefault="00C7345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8. Кількісні та якісні зн</w:t>
                    </w:r>
                    <w:r>
                      <w:rPr>
                        <w:rStyle w:val="a9"/>
                        <w:b/>
                        <w:bCs/>
                      </w:rPr>
                      <w:t>ачення показників результативності 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42C3"/>
    <w:multiLevelType w:val="multilevel"/>
    <w:tmpl w:val="EA60F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772ED4"/>
    <w:multiLevelType w:val="multilevel"/>
    <w:tmpl w:val="7DDE1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6"/>
    <w:rsid w:val="006C6916"/>
    <w:rsid w:val="00C7345C"/>
    <w:rsid w:val="00E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11E4A"/>
  <w15:docId w15:val="{BCC353E5-4764-450E-8A29-0D99331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и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2">
    <w:name w:val="Основний текст (3) + Не напівжирни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2">
    <w:name w:val="Заголовок №1 + Не напівжирни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Підпис до таблиці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Підпис до таблиці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pt">
    <w:name w:val="Підпис до таблиці + 4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ий текст (2) +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5pt">
    <w:name w:val="Основний текст (2) + 7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5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и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Exact">
    <w:name w:val="Основни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3ptExact">
    <w:name w:val="Основний текст (4) + 13 pt;Не напівжирни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Exact0">
    <w:name w:val="Основни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ind w:hanging="9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ідпис до таблиці"/>
    <w:basedOn w:val="a"/>
    <w:link w:val="a4"/>
    <w:pPr>
      <w:shd w:val="clear" w:color="auto" w:fill="FFFFFF"/>
      <w:spacing w:line="278" w:lineRule="exact"/>
      <w:ind w:firstLine="7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ий текст (4)"/>
    <w:basedOn w:val="a"/>
    <w:link w:val="4Exact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</dc:creator>
  <cp:lastModifiedBy>Ольга Мороз</cp:lastModifiedBy>
  <cp:revision>2</cp:revision>
  <dcterms:created xsi:type="dcterms:W3CDTF">2024-06-21T09:27:00Z</dcterms:created>
  <dcterms:modified xsi:type="dcterms:W3CDTF">2024-06-21T09:27:00Z</dcterms:modified>
</cp:coreProperties>
</file>