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C4" w:rsidRPr="004545BD" w:rsidRDefault="00A07EC4" w:rsidP="00DC5A16">
      <w:pPr>
        <w:spacing w:after="0" w:line="240" w:lineRule="auto"/>
        <w:jc w:val="center"/>
        <w:rPr>
          <w:rFonts w:ascii="Times New Roman" w:hAnsi="Times New Roman"/>
          <w:b/>
          <w:sz w:val="26"/>
          <w:szCs w:val="26"/>
          <w:lang w:val="uk-UA"/>
        </w:rPr>
      </w:pPr>
      <w:r w:rsidRPr="004545BD">
        <w:rPr>
          <w:rFonts w:ascii="Times New Roman" w:hAnsi="Times New Roman"/>
          <w:b/>
          <w:sz w:val="26"/>
          <w:szCs w:val="26"/>
          <w:lang w:val="uk-UA"/>
        </w:rPr>
        <w:t>Звіт</w:t>
      </w:r>
    </w:p>
    <w:p w:rsidR="00A07EC4" w:rsidRDefault="00A07EC4" w:rsidP="00DC5A16">
      <w:pPr>
        <w:spacing w:after="0" w:line="240" w:lineRule="auto"/>
        <w:ind w:right="-5"/>
        <w:jc w:val="center"/>
        <w:rPr>
          <w:rFonts w:ascii="Times New Roman" w:hAnsi="Times New Roman"/>
          <w:b/>
          <w:sz w:val="26"/>
          <w:szCs w:val="26"/>
          <w:lang w:val="uk-UA"/>
        </w:rPr>
      </w:pPr>
      <w:r w:rsidRPr="004545BD">
        <w:rPr>
          <w:rFonts w:ascii="Times New Roman" w:hAnsi="Times New Roman"/>
          <w:b/>
          <w:sz w:val="26"/>
          <w:szCs w:val="26"/>
          <w:lang w:val="uk-UA"/>
        </w:rPr>
        <w:t xml:space="preserve">про повторне відстеження результативності регуляторного </w:t>
      </w:r>
      <w:proofErr w:type="spellStart"/>
      <w:r w:rsidRPr="004545BD">
        <w:rPr>
          <w:rFonts w:ascii="Times New Roman" w:hAnsi="Times New Roman"/>
          <w:b/>
          <w:sz w:val="26"/>
          <w:szCs w:val="26"/>
          <w:lang w:val="uk-UA"/>
        </w:rPr>
        <w:t>акта</w:t>
      </w:r>
      <w:proofErr w:type="spellEnd"/>
      <w:r w:rsidRPr="004545BD">
        <w:rPr>
          <w:rFonts w:ascii="Times New Roman" w:hAnsi="Times New Roman"/>
          <w:b/>
          <w:sz w:val="26"/>
          <w:szCs w:val="26"/>
          <w:lang w:val="uk-UA"/>
        </w:rPr>
        <w:t xml:space="preserve"> – рішення </w:t>
      </w:r>
      <w:r>
        <w:rPr>
          <w:rFonts w:ascii="Times New Roman" w:hAnsi="Times New Roman"/>
          <w:b/>
          <w:sz w:val="26"/>
          <w:szCs w:val="26"/>
          <w:lang w:val="uk-UA"/>
        </w:rPr>
        <w:t xml:space="preserve">виконавчого комітету </w:t>
      </w:r>
      <w:r w:rsidRPr="004545BD">
        <w:rPr>
          <w:rFonts w:ascii="Times New Roman" w:hAnsi="Times New Roman"/>
          <w:b/>
          <w:sz w:val="26"/>
          <w:szCs w:val="26"/>
          <w:lang w:val="uk-UA"/>
        </w:rPr>
        <w:t xml:space="preserve">Дніпровської міської ради від </w:t>
      </w:r>
      <w:r>
        <w:rPr>
          <w:rFonts w:ascii="Times New Roman" w:hAnsi="Times New Roman"/>
          <w:b/>
          <w:sz w:val="26"/>
          <w:szCs w:val="26"/>
          <w:lang w:val="uk-UA"/>
        </w:rPr>
        <w:t>20</w:t>
      </w:r>
      <w:r w:rsidRPr="004545BD">
        <w:rPr>
          <w:rFonts w:ascii="Times New Roman" w:hAnsi="Times New Roman"/>
          <w:b/>
          <w:sz w:val="26"/>
          <w:szCs w:val="26"/>
          <w:lang w:val="uk-UA"/>
        </w:rPr>
        <w:t>.0</w:t>
      </w:r>
      <w:r>
        <w:rPr>
          <w:rFonts w:ascii="Times New Roman" w:hAnsi="Times New Roman"/>
          <w:b/>
          <w:sz w:val="26"/>
          <w:szCs w:val="26"/>
          <w:lang w:val="uk-UA"/>
        </w:rPr>
        <w:t>2</w:t>
      </w:r>
      <w:r w:rsidRPr="004545BD">
        <w:rPr>
          <w:rFonts w:ascii="Times New Roman" w:hAnsi="Times New Roman"/>
          <w:b/>
          <w:sz w:val="26"/>
          <w:szCs w:val="26"/>
          <w:lang w:val="uk-UA"/>
        </w:rPr>
        <w:t>.201</w:t>
      </w:r>
      <w:r>
        <w:rPr>
          <w:rFonts w:ascii="Times New Roman" w:hAnsi="Times New Roman"/>
          <w:b/>
          <w:sz w:val="26"/>
          <w:szCs w:val="26"/>
          <w:lang w:val="uk-UA"/>
        </w:rPr>
        <w:t xml:space="preserve">8 № 173 </w:t>
      </w:r>
      <w:r w:rsidRPr="00433E29">
        <w:rPr>
          <w:rFonts w:ascii="Times New Roman" w:hAnsi="Times New Roman"/>
          <w:b/>
          <w:sz w:val="26"/>
          <w:szCs w:val="26"/>
          <w:lang w:val="uk-UA"/>
        </w:rPr>
        <w:t xml:space="preserve">«Про затвердження Положення про порядок обстеження стану </w:t>
      </w:r>
      <w:r w:rsidR="007830F5">
        <w:rPr>
          <w:rFonts w:ascii="Times New Roman" w:hAnsi="Times New Roman"/>
          <w:b/>
          <w:sz w:val="26"/>
          <w:szCs w:val="26"/>
          <w:lang w:val="uk-UA"/>
        </w:rPr>
        <w:t>ж</w:t>
      </w:r>
      <w:r w:rsidRPr="00433E29">
        <w:rPr>
          <w:rFonts w:ascii="Times New Roman" w:hAnsi="Times New Roman"/>
          <w:b/>
          <w:sz w:val="26"/>
          <w:szCs w:val="26"/>
          <w:lang w:val="uk-UA"/>
        </w:rPr>
        <w:t>итлових/</w:t>
      </w:r>
      <w:r w:rsidR="007830F5">
        <w:rPr>
          <w:rFonts w:ascii="Times New Roman" w:hAnsi="Times New Roman"/>
          <w:b/>
          <w:sz w:val="26"/>
          <w:szCs w:val="26"/>
          <w:lang w:val="uk-UA"/>
        </w:rPr>
        <w:t xml:space="preserve"> </w:t>
      </w:r>
      <w:r w:rsidRPr="00433E29">
        <w:rPr>
          <w:rFonts w:ascii="Times New Roman" w:hAnsi="Times New Roman"/>
          <w:b/>
          <w:sz w:val="26"/>
          <w:szCs w:val="26"/>
          <w:lang w:val="uk-UA"/>
        </w:rPr>
        <w:t xml:space="preserve">нежитлових будинків, житлових/нежитлових приміщень, квартир та </w:t>
      </w:r>
      <w:r w:rsidR="007830F5">
        <w:rPr>
          <w:rFonts w:ascii="Times New Roman" w:hAnsi="Times New Roman"/>
          <w:b/>
          <w:sz w:val="26"/>
          <w:szCs w:val="26"/>
          <w:lang w:val="uk-UA"/>
        </w:rPr>
        <w:t>ж</w:t>
      </w:r>
      <w:r w:rsidRPr="00433E29">
        <w:rPr>
          <w:rFonts w:ascii="Times New Roman" w:hAnsi="Times New Roman"/>
          <w:b/>
          <w:sz w:val="26"/>
          <w:szCs w:val="26"/>
          <w:lang w:val="uk-UA"/>
        </w:rPr>
        <w:t>итлових/нежитлових приміщень гуртожитків комунальної власності територіальної громади міста»</w:t>
      </w:r>
    </w:p>
    <w:p w:rsidR="00A07EC4" w:rsidRPr="004545BD" w:rsidRDefault="00A07EC4" w:rsidP="00DC5A16">
      <w:pPr>
        <w:spacing w:after="0" w:line="240" w:lineRule="auto"/>
        <w:ind w:left="1418" w:right="1133"/>
        <w:jc w:val="center"/>
        <w:rPr>
          <w:rFonts w:ascii="Times New Roman" w:hAnsi="Times New Roman"/>
          <w:b/>
          <w:sz w:val="26"/>
          <w:szCs w:val="26"/>
          <w:lang w:val="uk-UA"/>
        </w:rPr>
      </w:pPr>
    </w:p>
    <w:p w:rsidR="00A07EC4" w:rsidRPr="00A5593B" w:rsidRDefault="00A07EC4" w:rsidP="00DC5A16">
      <w:pPr>
        <w:tabs>
          <w:tab w:val="left" w:pos="9355"/>
        </w:tabs>
        <w:spacing w:after="0" w:line="240" w:lineRule="auto"/>
        <w:jc w:val="both"/>
        <w:rPr>
          <w:rFonts w:ascii="Times New Roman" w:hAnsi="Times New Roman"/>
          <w:sz w:val="26"/>
          <w:szCs w:val="26"/>
          <w:lang w:val="uk-UA"/>
        </w:rPr>
      </w:pPr>
      <w:r>
        <w:rPr>
          <w:rFonts w:ascii="Times New Roman" w:hAnsi="Times New Roman"/>
          <w:b/>
          <w:sz w:val="26"/>
          <w:szCs w:val="26"/>
          <w:lang w:val="uk-UA"/>
        </w:rPr>
        <w:t xml:space="preserve">     </w:t>
      </w:r>
      <w:r w:rsidRPr="004545BD">
        <w:rPr>
          <w:rFonts w:ascii="Times New Roman" w:hAnsi="Times New Roman"/>
          <w:b/>
          <w:sz w:val="26"/>
          <w:szCs w:val="26"/>
          <w:lang w:val="uk-UA"/>
        </w:rPr>
        <w:t xml:space="preserve">1. Вид та назва регуляторного </w:t>
      </w:r>
      <w:proofErr w:type="spellStart"/>
      <w:r w:rsidRPr="004545BD">
        <w:rPr>
          <w:rFonts w:ascii="Times New Roman" w:hAnsi="Times New Roman"/>
          <w:b/>
          <w:sz w:val="26"/>
          <w:szCs w:val="26"/>
          <w:lang w:val="uk-UA"/>
        </w:rPr>
        <w:t>акта</w:t>
      </w:r>
      <w:proofErr w:type="spellEnd"/>
      <w:r w:rsidRPr="004545BD">
        <w:rPr>
          <w:rFonts w:ascii="Times New Roman" w:hAnsi="Times New Roman"/>
          <w:sz w:val="26"/>
          <w:szCs w:val="26"/>
          <w:lang w:val="uk-UA"/>
        </w:rPr>
        <w:t xml:space="preserve">: </w:t>
      </w:r>
      <w:r w:rsidRPr="00433E29">
        <w:rPr>
          <w:rFonts w:ascii="Times New Roman" w:hAnsi="Times New Roman"/>
          <w:sz w:val="26"/>
          <w:szCs w:val="26"/>
          <w:lang w:val="uk-UA"/>
        </w:rPr>
        <w:t>рішення виконавчого комітет</w:t>
      </w:r>
      <w:r>
        <w:rPr>
          <w:rFonts w:ascii="Times New Roman" w:hAnsi="Times New Roman"/>
          <w:sz w:val="26"/>
          <w:szCs w:val="26"/>
          <w:lang w:val="uk-UA"/>
        </w:rPr>
        <w:t>у</w:t>
      </w:r>
      <w:r w:rsidRPr="00433E29">
        <w:rPr>
          <w:rFonts w:ascii="Times New Roman" w:hAnsi="Times New Roman"/>
          <w:sz w:val="26"/>
          <w:szCs w:val="26"/>
          <w:lang w:val="uk-UA"/>
        </w:rPr>
        <w:t xml:space="preserve"> Дніпровської міської ради від 20.02.2018 № 173 «Про затвердження Положення про порядок обстеження стану житлових/нежитлових будинків, житлових/нежитлових приміщень, квартир та житлових/нежитлових приміщень гуртожитків комунальної власності територіальної громади міста»</w:t>
      </w:r>
      <w:r>
        <w:rPr>
          <w:rFonts w:ascii="Times New Roman" w:hAnsi="Times New Roman"/>
          <w:sz w:val="26"/>
          <w:szCs w:val="26"/>
          <w:lang w:val="uk-UA"/>
        </w:rPr>
        <w:t xml:space="preserve"> (далі – регуляторний акт).</w:t>
      </w:r>
    </w:p>
    <w:p w:rsidR="00A07EC4" w:rsidRDefault="00A07EC4" w:rsidP="00DC5A16">
      <w:pPr>
        <w:tabs>
          <w:tab w:val="left" w:pos="9355"/>
        </w:tabs>
        <w:spacing w:after="0" w:line="240" w:lineRule="auto"/>
        <w:jc w:val="both"/>
        <w:rPr>
          <w:rFonts w:ascii="Times New Roman" w:hAnsi="Times New Roman"/>
          <w:sz w:val="26"/>
          <w:szCs w:val="26"/>
          <w:lang w:val="uk-UA"/>
        </w:rPr>
      </w:pPr>
      <w:r w:rsidRPr="004545BD">
        <w:rPr>
          <w:rFonts w:ascii="Times New Roman" w:hAnsi="Times New Roman"/>
          <w:b/>
          <w:sz w:val="26"/>
          <w:szCs w:val="26"/>
          <w:lang w:val="uk-UA"/>
        </w:rPr>
        <w:t xml:space="preserve">     2. Назва виконавця заходів з відстеження</w:t>
      </w:r>
      <w:r w:rsidRPr="004545BD">
        <w:rPr>
          <w:rFonts w:ascii="Times New Roman" w:hAnsi="Times New Roman"/>
          <w:sz w:val="26"/>
          <w:szCs w:val="26"/>
          <w:lang w:val="uk-UA"/>
        </w:rPr>
        <w:t xml:space="preserve">: департамент </w:t>
      </w:r>
      <w:r>
        <w:rPr>
          <w:rFonts w:ascii="Times New Roman" w:hAnsi="Times New Roman"/>
          <w:sz w:val="26"/>
          <w:szCs w:val="26"/>
          <w:lang w:val="uk-UA"/>
        </w:rPr>
        <w:t>по роботі з активами</w:t>
      </w:r>
      <w:r w:rsidRPr="004545BD">
        <w:rPr>
          <w:rFonts w:ascii="Times New Roman" w:hAnsi="Times New Roman"/>
          <w:sz w:val="26"/>
          <w:szCs w:val="26"/>
          <w:lang w:val="uk-UA"/>
        </w:rPr>
        <w:t xml:space="preserve"> Дніпровської міської ради</w:t>
      </w:r>
      <w:r>
        <w:rPr>
          <w:rFonts w:ascii="Times New Roman" w:hAnsi="Times New Roman"/>
          <w:sz w:val="26"/>
          <w:szCs w:val="26"/>
          <w:lang w:val="uk-UA"/>
        </w:rPr>
        <w:t xml:space="preserve"> (далі - Департамент)</w:t>
      </w:r>
      <w:r w:rsidRPr="004545BD">
        <w:rPr>
          <w:rFonts w:ascii="Times New Roman" w:hAnsi="Times New Roman"/>
          <w:sz w:val="26"/>
          <w:szCs w:val="26"/>
          <w:lang w:val="uk-UA"/>
        </w:rPr>
        <w:t xml:space="preserve">. </w:t>
      </w:r>
    </w:p>
    <w:p w:rsidR="00A07EC4" w:rsidRDefault="00A07EC4" w:rsidP="00DC5A16">
      <w:pPr>
        <w:tabs>
          <w:tab w:val="left" w:pos="9355"/>
        </w:tabs>
        <w:spacing w:after="0" w:line="240" w:lineRule="auto"/>
        <w:jc w:val="both"/>
        <w:rPr>
          <w:rFonts w:ascii="Times New Roman" w:hAnsi="Times New Roman"/>
          <w:sz w:val="26"/>
          <w:szCs w:val="26"/>
          <w:lang w:val="uk-UA"/>
        </w:rPr>
      </w:pPr>
      <w:r>
        <w:rPr>
          <w:rFonts w:ascii="Times New Roman" w:hAnsi="Times New Roman"/>
          <w:b/>
          <w:sz w:val="26"/>
          <w:szCs w:val="26"/>
          <w:lang w:val="uk-UA"/>
        </w:rPr>
        <w:t xml:space="preserve">     </w:t>
      </w:r>
      <w:r w:rsidRPr="004545BD">
        <w:rPr>
          <w:rFonts w:ascii="Times New Roman" w:hAnsi="Times New Roman"/>
          <w:b/>
          <w:sz w:val="26"/>
          <w:szCs w:val="26"/>
          <w:lang w:val="uk-UA"/>
        </w:rPr>
        <w:t xml:space="preserve">3. Цілі прийняття </w:t>
      </w:r>
      <w:proofErr w:type="spellStart"/>
      <w:r w:rsidRPr="004545BD">
        <w:rPr>
          <w:rFonts w:ascii="Times New Roman" w:hAnsi="Times New Roman"/>
          <w:b/>
          <w:sz w:val="26"/>
          <w:szCs w:val="26"/>
          <w:lang w:val="uk-UA"/>
        </w:rPr>
        <w:t>акта</w:t>
      </w:r>
      <w:proofErr w:type="spellEnd"/>
      <w:r w:rsidRPr="004545BD">
        <w:rPr>
          <w:rFonts w:ascii="Times New Roman" w:hAnsi="Times New Roman"/>
          <w:sz w:val="26"/>
          <w:szCs w:val="26"/>
          <w:lang w:val="uk-UA"/>
        </w:rPr>
        <w:t xml:space="preserve">: </w:t>
      </w:r>
      <w:r>
        <w:rPr>
          <w:rFonts w:ascii="Times New Roman" w:hAnsi="Times New Roman"/>
          <w:sz w:val="26"/>
          <w:szCs w:val="26"/>
          <w:lang w:val="uk-UA"/>
        </w:rPr>
        <w:t>р</w:t>
      </w:r>
      <w:r w:rsidRPr="004545BD">
        <w:rPr>
          <w:rFonts w:ascii="Times New Roman" w:hAnsi="Times New Roman"/>
          <w:sz w:val="26"/>
          <w:szCs w:val="26"/>
          <w:lang w:val="uk-UA"/>
        </w:rPr>
        <w:t xml:space="preserve">егуляторний акт спрямований на </w:t>
      </w:r>
      <w:r w:rsidRPr="00955D24">
        <w:rPr>
          <w:rFonts w:ascii="Times New Roman" w:hAnsi="Times New Roman"/>
          <w:sz w:val="26"/>
          <w:szCs w:val="26"/>
          <w:lang w:val="uk-UA"/>
        </w:rPr>
        <w:t xml:space="preserve">визначення процедури обстеження Об'єкта обстеження для подальшого здійснення дій щодо зміни правового режиму об’єктів нерухомого майна відповідно до Порядку зміни правового режиму об’єктів  нерухомого майна, затвердженого рішенням міської ради від 21.06.2017 № 49/22 </w:t>
      </w:r>
      <w:r>
        <w:rPr>
          <w:rFonts w:ascii="Times New Roman" w:hAnsi="Times New Roman"/>
          <w:sz w:val="26"/>
          <w:szCs w:val="26"/>
          <w:lang w:val="uk-UA"/>
        </w:rPr>
        <w:t>«</w:t>
      </w:r>
      <w:r w:rsidRPr="00955D24">
        <w:rPr>
          <w:rFonts w:ascii="Times New Roman" w:hAnsi="Times New Roman"/>
          <w:sz w:val="26"/>
          <w:szCs w:val="26"/>
          <w:lang w:val="uk-UA"/>
        </w:rPr>
        <w:t>Про затвердження Порядку зміни правового ре</w:t>
      </w:r>
      <w:r>
        <w:rPr>
          <w:rFonts w:ascii="Times New Roman" w:hAnsi="Times New Roman"/>
          <w:sz w:val="26"/>
          <w:szCs w:val="26"/>
          <w:lang w:val="uk-UA"/>
        </w:rPr>
        <w:t>жиму об’єктів  нерухомого майна»</w:t>
      </w:r>
      <w:r w:rsidRPr="00955D24">
        <w:rPr>
          <w:rFonts w:ascii="Times New Roman" w:hAnsi="Times New Roman"/>
          <w:sz w:val="26"/>
          <w:szCs w:val="26"/>
          <w:lang w:val="uk-UA"/>
        </w:rPr>
        <w:t>.</w:t>
      </w:r>
    </w:p>
    <w:p w:rsidR="00A07EC4" w:rsidRDefault="00A07EC4" w:rsidP="00DC5A16">
      <w:pPr>
        <w:tabs>
          <w:tab w:val="left" w:pos="9355"/>
        </w:tabs>
        <w:spacing w:after="0" w:line="240" w:lineRule="auto"/>
        <w:jc w:val="both"/>
        <w:rPr>
          <w:rFonts w:ascii="Times New Roman" w:hAnsi="Times New Roman"/>
          <w:sz w:val="26"/>
          <w:szCs w:val="26"/>
          <w:lang w:val="uk-UA"/>
        </w:rPr>
      </w:pPr>
      <w:r w:rsidRPr="004545BD">
        <w:rPr>
          <w:rFonts w:ascii="Times New Roman" w:hAnsi="Times New Roman"/>
          <w:b/>
          <w:sz w:val="26"/>
          <w:szCs w:val="26"/>
          <w:lang w:val="uk-UA"/>
        </w:rPr>
        <w:t xml:space="preserve">     4. Строк виконання заходів з відстеження</w:t>
      </w:r>
      <w:r w:rsidRPr="004545BD">
        <w:rPr>
          <w:rFonts w:ascii="Times New Roman" w:hAnsi="Times New Roman"/>
          <w:sz w:val="26"/>
          <w:szCs w:val="26"/>
          <w:lang w:val="uk-UA"/>
        </w:rPr>
        <w:t xml:space="preserve"> : </w:t>
      </w:r>
      <w:r>
        <w:rPr>
          <w:rFonts w:ascii="Times New Roman" w:hAnsi="Times New Roman"/>
          <w:sz w:val="26"/>
          <w:szCs w:val="26"/>
          <w:lang w:val="uk-UA"/>
        </w:rPr>
        <w:t>01.</w:t>
      </w:r>
      <w:r w:rsidRPr="004545BD">
        <w:rPr>
          <w:rFonts w:ascii="Times New Roman" w:hAnsi="Times New Roman"/>
          <w:sz w:val="26"/>
          <w:szCs w:val="26"/>
          <w:lang w:val="uk-UA"/>
        </w:rPr>
        <w:t>0</w:t>
      </w:r>
      <w:r>
        <w:rPr>
          <w:rFonts w:ascii="Times New Roman" w:hAnsi="Times New Roman"/>
          <w:sz w:val="26"/>
          <w:szCs w:val="26"/>
          <w:lang w:val="uk-UA"/>
        </w:rPr>
        <w:t>3</w:t>
      </w:r>
      <w:r w:rsidRPr="004545BD">
        <w:rPr>
          <w:rFonts w:ascii="Times New Roman" w:hAnsi="Times New Roman"/>
          <w:sz w:val="26"/>
          <w:szCs w:val="26"/>
          <w:lang w:val="uk-UA"/>
        </w:rPr>
        <w:t>.201</w:t>
      </w:r>
      <w:r>
        <w:rPr>
          <w:rFonts w:ascii="Times New Roman" w:hAnsi="Times New Roman"/>
          <w:sz w:val="26"/>
          <w:szCs w:val="26"/>
          <w:lang w:val="uk-UA"/>
        </w:rPr>
        <w:t>9</w:t>
      </w:r>
      <w:r w:rsidRPr="004545BD">
        <w:rPr>
          <w:rFonts w:ascii="Times New Roman" w:hAnsi="Times New Roman"/>
          <w:sz w:val="26"/>
          <w:szCs w:val="26"/>
          <w:lang w:val="uk-UA"/>
        </w:rPr>
        <w:t xml:space="preserve"> – </w:t>
      </w:r>
      <w:r>
        <w:rPr>
          <w:rFonts w:ascii="Times New Roman" w:hAnsi="Times New Roman"/>
          <w:sz w:val="26"/>
          <w:szCs w:val="26"/>
          <w:lang w:val="uk-UA"/>
        </w:rPr>
        <w:t>20.03</w:t>
      </w:r>
      <w:r w:rsidRPr="004545BD">
        <w:rPr>
          <w:rFonts w:ascii="Times New Roman" w:hAnsi="Times New Roman"/>
          <w:sz w:val="26"/>
          <w:szCs w:val="26"/>
          <w:lang w:val="uk-UA"/>
        </w:rPr>
        <w:t>.201</w:t>
      </w:r>
      <w:r>
        <w:rPr>
          <w:rFonts w:ascii="Times New Roman" w:hAnsi="Times New Roman"/>
          <w:sz w:val="26"/>
          <w:szCs w:val="26"/>
          <w:lang w:val="uk-UA"/>
        </w:rPr>
        <w:t>9</w:t>
      </w:r>
      <w:r w:rsidRPr="004545BD">
        <w:rPr>
          <w:rFonts w:ascii="Times New Roman" w:hAnsi="Times New Roman"/>
          <w:sz w:val="26"/>
          <w:szCs w:val="26"/>
          <w:lang w:val="uk-UA"/>
        </w:rPr>
        <w:t>.</w:t>
      </w:r>
    </w:p>
    <w:p w:rsidR="00A07EC4" w:rsidRDefault="00A07EC4" w:rsidP="00DC5A16">
      <w:pPr>
        <w:tabs>
          <w:tab w:val="left" w:pos="9355"/>
        </w:tabs>
        <w:spacing w:after="0" w:line="240" w:lineRule="auto"/>
        <w:jc w:val="both"/>
        <w:rPr>
          <w:rFonts w:ascii="Times New Roman" w:hAnsi="Times New Roman"/>
          <w:sz w:val="26"/>
          <w:szCs w:val="26"/>
          <w:lang w:val="uk-UA"/>
        </w:rPr>
      </w:pPr>
      <w:r w:rsidRPr="004545BD">
        <w:rPr>
          <w:rFonts w:ascii="Times New Roman" w:hAnsi="Times New Roman"/>
          <w:b/>
          <w:sz w:val="26"/>
          <w:szCs w:val="26"/>
          <w:lang w:val="uk-UA"/>
        </w:rPr>
        <w:t xml:space="preserve">     5. Тип відстеження</w:t>
      </w:r>
      <w:r w:rsidRPr="004545BD">
        <w:rPr>
          <w:rFonts w:ascii="Times New Roman" w:hAnsi="Times New Roman"/>
          <w:sz w:val="26"/>
          <w:szCs w:val="26"/>
          <w:lang w:val="uk-UA"/>
        </w:rPr>
        <w:t>: повторне.</w:t>
      </w:r>
    </w:p>
    <w:p w:rsidR="00A07EC4" w:rsidRDefault="00A07EC4" w:rsidP="001D56FC">
      <w:pPr>
        <w:tabs>
          <w:tab w:val="left" w:pos="9355"/>
        </w:tabs>
        <w:spacing w:after="0" w:line="240" w:lineRule="auto"/>
        <w:ind w:right="-1"/>
        <w:jc w:val="both"/>
        <w:rPr>
          <w:rFonts w:ascii="Times New Roman" w:hAnsi="Times New Roman"/>
          <w:sz w:val="26"/>
          <w:szCs w:val="26"/>
          <w:lang w:val="uk-UA"/>
        </w:rPr>
      </w:pPr>
      <w:r w:rsidRPr="004545BD">
        <w:rPr>
          <w:rFonts w:ascii="Times New Roman" w:hAnsi="Times New Roman"/>
          <w:b/>
          <w:sz w:val="26"/>
          <w:szCs w:val="26"/>
          <w:lang w:val="uk-UA"/>
        </w:rPr>
        <w:t xml:space="preserve">     6. Методи одержання результатів відстеження:</w:t>
      </w:r>
      <w:r w:rsidR="007830F5">
        <w:rPr>
          <w:rFonts w:ascii="Times New Roman" w:hAnsi="Times New Roman"/>
          <w:b/>
          <w:sz w:val="26"/>
          <w:szCs w:val="26"/>
          <w:lang w:val="uk-UA"/>
        </w:rPr>
        <w:t xml:space="preserve"> </w:t>
      </w:r>
      <w:r w:rsidRPr="004545BD">
        <w:rPr>
          <w:rFonts w:ascii="Times New Roman" w:hAnsi="Times New Roman"/>
          <w:sz w:val="26"/>
          <w:szCs w:val="26"/>
          <w:lang w:val="uk-UA"/>
        </w:rPr>
        <w:t>статистичн</w:t>
      </w:r>
      <w:r>
        <w:rPr>
          <w:rFonts w:ascii="Times New Roman" w:hAnsi="Times New Roman"/>
          <w:sz w:val="26"/>
          <w:szCs w:val="26"/>
          <w:lang w:val="uk-UA"/>
        </w:rPr>
        <w:t>ий та</w:t>
      </w:r>
      <w:r w:rsidRPr="004545BD">
        <w:rPr>
          <w:rFonts w:ascii="Times New Roman" w:hAnsi="Times New Roman"/>
          <w:sz w:val="26"/>
          <w:szCs w:val="26"/>
          <w:lang w:val="uk-UA"/>
        </w:rPr>
        <w:t xml:space="preserve"> соціологічн</w:t>
      </w:r>
      <w:r>
        <w:rPr>
          <w:rFonts w:ascii="Times New Roman" w:hAnsi="Times New Roman"/>
          <w:sz w:val="26"/>
          <w:szCs w:val="26"/>
          <w:lang w:val="uk-UA"/>
        </w:rPr>
        <w:t>ий</w:t>
      </w:r>
      <w:r w:rsidRPr="004545BD">
        <w:rPr>
          <w:rFonts w:ascii="Times New Roman" w:hAnsi="Times New Roman"/>
          <w:sz w:val="26"/>
          <w:szCs w:val="26"/>
          <w:lang w:val="uk-UA"/>
        </w:rPr>
        <w:t>.</w:t>
      </w:r>
    </w:p>
    <w:p w:rsidR="00A07EC4" w:rsidRDefault="00A07EC4" w:rsidP="00DC5A16">
      <w:pPr>
        <w:tabs>
          <w:tab w:val="left" w:pos="9355"/>
        </w:tabs>
        <w:spacing w:after="0" w:line="240" w:lineRule="auto"/>
        <w:ind w:right="-1"/>
        <w:jc w:val="both"/>
        <w:rPr>
          <w:rFonts w:ascii="Times New Roman" w:hAnsi="Times New Roman"/>
          <w:sz w:val="26"/>
          <w:szCs w:val="26"/>
          <w:lang w:val="uk-UA"/>
        </w:rPr>
      </w:pPr>
      <w:r w:rsidRPr="00B4127F">
        <w:rPr>
          <w:rFonts w:ascii="Times New Roman" w:hAnsi="Times New Roman"/>
          <w:b/>
          <w:sz w:val="26"/>
          <w:szCs w:val="26"/>
          <w:lang w:val="uk-UA"/>
        </w:rPr>
        <w:t xml:space="preserve">     7.</w:t>
      </w:r>
      <w:r w:rsidRPr="004545BD">
        <w:rPr>
          <w:rFonts w:ascii="Times New Roman" w:hAnsi="Times New Roman"/>
          <w:b/>
          <w:sz w:val="26"/>
          <w:szCs w:val="26"/>
          <w:lang w:val="uk-UA"/>
        </w:rPr>
        <w:t xml:space="preserve"> Дані та припущення, на основі яких відстежувалася результативність, а також способи одержання даних:</w:t>
      </w:r>
      <w:r>
        <w:rPr>
          <w:rFonts w:ascii="Times New Roman" w:hAnsi="Times New Roman"/>
          <w:b/>
          <w:sz w:val="26"/>
          <w:szCs w:val="26"/>
          <w:lang w:val="uk-UA"/>
        </w:rPr>
        <w:t xml:space="preserve"> </w:t>
      </w:r>
      <w:r w:rsidRPr="00DC5A16">
        <w:rPr>
          <w:rFonts w:ascii="Times New Roman" w:hAnsi="Times New Roman"/>
          <w:sz w:val="26"/>
          <w:szCs w:val="26"/>
          <w:lang w:val="uk-UA"/>
        </w:rPr>
        <w:t>в</w:t>
      </w:r>
      <w:r w:rsidRPr="00732D07">
        <w:rPr>
          <w:rFonts w:ascii="Times New Roman" w:hAnsi="Times New Roman"/>
          <w:sz w:val="26"/>
          <w:szCs w:val="26"/>
          <w:lang w:val="uk-UA"/>
        </w:rPr>
        <w:t xml:space="preserve">ідстеження результативності </w:t>
      </w:r>
      <w:r>
        <w:rPr>
          <w:rFonts w:ascii="Times New Roman" w:hAnsi="Times New Roman"/>
          <w:sz w:val="26"/>
          <w:szCs w:val="26"/>
          <w:lang w:val="uk-UA"/>
        </w:rPr>
        <w:t xml:space="preserve">регуляторного </w:t>
      </w:r>
      <w:proofErr w:type="spellStart"/>
      <w:r>
        <w:rPr>
          <w:rFonts w:ascii="Times New Roman" w:hAnsi="Times New Roman"/>
          <w:sz w:val="26"/>
          <w:szCs w:val="26"/>
          <w:lang w:val="uk-UA"/>
        </w:rPr>
        <w:t>акта</w:t>
      </w:r>
      <w:proofErr w:type="spellEnd"/>
      <w:r w:rsidRPr="00732D07">
        <w:rPr>
          <w:rFonts w:ascii="Times New Roman" w:hAnsi="Times New Roman"/>
          <w:sz w:val="26"/>
          <w:szCs w:val="26"/>
          <w:lang w:val="uk-UA"/>
        </w:rPr>
        <w:t xml:space="preserve"> здійснювалос</w:t>
      </w:r>
      <w:r>
        <w:rPr>
          <w:rFonts w:ascii="Times New Roman" w:hAnsi="Times New Roman"/>
          <w:sz w:val="26"/>
          <w:szCs w:val="26"/>
          <w:lang w:val="uk-UA"/>
        </w:rPr>
        <w:t>ь</w:t>
      </w:r>
      <w:r w:rsidRPr="00732D07">
        <w:rPr>
          <w:rFonts w:ascii="Times New Roman" w:hAnsi="Times New Roman"/>
          <w:sz w:val="26"/>
          <w:szCs w:val="26"/>
          <w:lang w:val="uk-UA"/>
        </w:rPr>
        <w:t xml:space="preserve"> шляхом аналізу наявної </w:t>
      </w:r>
      <w:r>
        <w:rPr>
          <w:rFonts w:ascii="Times New Roman" w:hAnsi="Times New Roman"/>
          <w:sz w:val="26"/>
          <w:szCs w:val="26"/>
          <w:lang w:val="uk-UA"/>
        </w:rPr>
        <w:t xml:space="preserve">у Департаменті </w:t>
      </w:r>
      <w:r w:rsidRPr="00732D07">
        <w:rPr>
          <w:rFonts w:ascii="Times New Roman" w:hAnsi="Times New Roman"/>
          <w:sz w:val="26"/>
          <w:szCs w:val="26"/>
          <w:lang w:val="uk-UA"/>
        </w:rPr>
        <w:t xml:space="preserve">інформації. </w:t>
      </w:r>
    </w:p>
    <w:p w:rsidR="00A07EC4" w:rsidRDefault="00A07EC4" w:rsidP="00DC5A16">
      <w:pPr>
        <w:tabs>
          <w:tab w:val="left" w:pos="9355"/>
        </w:tabs>
        <w:spacing w:after="0" w:line="240" w:lineRule="auto"/>
        <w:ind w:right="-1"/>
        <w:jc w:val="both"/>
        <w:rPr>
          <w:rFonts w:ascii="Times New Roman" w:hAnsi="Times New Roman"/>
          <w:b/>
          <w:sz w:val="26"/>
          <w:szCs w:val="26"/>
          <w:lang w:val="uk-UA"/>
        </w:rPr>
      </w:pPr>
      <w:r>
        <w:rPr>
          <w:rFonts w:ascii="Times New Roman" w:hAnsi="Times New Roman"/>
          <w:b/>
          <w:sz w:val="26"/>
          <w:szCs w:val="26"/>
          <w:lang w:val="uk-UA"/>
        </w:rPr>
        <w:t xml:space="preserve">     </w:t>
      </w:r>
      <w:r w:rsidRPr="004545BD">
        <w:rPr>
          <w:rFonts w:ascii="Times New Roman" w:hAnsi="Times New Roman"/>
          <w:b/>
          <w:sz w:val="26"/>
          <w:szCs w:val="26"/>
          <w:lang w:val="uk-UA"/>
        </w:rPr>
        <w:t>8. Кількісні та якісні значення показників результативності:</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6033"/>
        <w:gridCol w:w="1980"/>
        <w:gridCol w:w="1323"/>
      </w:tblGrid>
      <w:tr w:rsidR="00A07EC4" w:rsidRPr="00732D07" w:rsidTr="001D56FC">
        <w:trPr>
          <w:trHeight w:val="469"/>
        </w:trPr>
        <w:tc>
          <w:tcPr>
            <w:tcW w:w="555" w:type="dxa"/>
            <w:vAlign w:val="center"/>
          </w:tcPr>
          <w:p w:rsidR="00A07EC4" w:rsidRPr="00964CE1" w:rsidRDefault="00A07EC4" w:rsidP="007830F5">
            <w:pPr>
              <w:pStyle w:val="a4"/>
              <w:spacing w:before="100" w:beforeAutospacing="1" w:after="100" w:afterAutospacing="1"/>
              <w:jc w:val="center"/>
              <w:rPr>
                <w:rFonts w:ascii="Times New Roman" w:hAnsi="Times New Roman"/>
                <w:sz w:val="26"/>
                <w:szCs w:val="26"/>
                <w:lang w:val="uk-UA"/>
              </w:rPr>
            </w:pPr>
            <w:r w:rsidRPr="00964CE1">
              <w:rPr>
                <w:rFonts w:ascii="Times New Roman" w:hAnsi="Times New Roman"/>
                <w:sz w:val="26"/>
                <w:szCs w:val="26"/>
                <w:lang w:val="uk-UA"/>
              </w:rPr>
              <w:t>№</w:t>
            </w:r>
          </w:p>
          <w:p w:rsidR="00A07EC4" w:rsidRPr="00964CE1" w:rsidRDefault="00A07EC4" w:rsidP="007830F5">
            <w:pPr>
              <w:pStyle w:val="a4"/>
              <w:spacing w:before="100" w:beforeAutospacing="1" w:after="100" w:afterAutospacing="1"/>
              <w:jc w:val="center"/>
              <w:rPr>
                <w:rFonts w:ascii="Times New Roman" w:hAnsi="Times New Roman"/>
                <w:sz w:val="26"/>
                <w:szCs w:val="26"/>
                <w:lang w:val="uk-UA"/>
              </w:rPr>
            </w:pPr>
            <w:r w:rsidRPr="00964CE1">
              <w:rPr>
                <w:rFonts w:ascii="Times New Roman" w:hAnsi="Times New Roman"/>
                <w:sz w:val="26"/>
                <w:szCs w:val="26"/>
                <w:lang w:val="uk-UA"/>
              </w:rPr>
              <w:t>з/п</w:t>
            </w:r>
          </w:p>
        </w:tc>
        <w:tc>
          <w:tcPr>
            <w:tcW w:w="6033" w:type="dxa"/>
            <w:vAlign w:val="center"/>
          </w:tcPr>
          <w:p w:rsidR="00A07EC4" w:rsidRPr="00964CE1" w:rsidRDefault="00A07EC4" w:rsidP="007830F5">
            <w:pPr>
              <w:pStyle w:val="a4"/>
              <w:spacing w:before="100" w:beforeAutospacing="1" w:after="100" w:afterAutospacing="1"/>
              <w:jc w:val="center"/>
              <w:rPr>
                <w:rFonts w:ascii="Times New Roman" w:hAnsi="Times New Roman"/>
                <w:sz w:val="26"/>
                <w:szCs w:val="26"/>
                <w:lang w:val="uk-UA"/>
              </w:rPr>
            </w:pPr>
            <w:r w:rsidRPr="00964CE1">
              <w:rPr>
                <w:rFonts w:ascii="Times New Roman" w:hAnsi="Times New Roman"/>
                <w:sz w:val="26"/>
                <w:szCs w:val="26"/>
                <w:lang w:val="uk-UA"/>
              </w:rPr>
              <w:t>Показники результативності</w:t>
            </w:r>
          </w:p>
        </w:tc>
        <w:tc>
          <w:tcPr>
            <w:tcW w:w="1980" w:type="dxa"/>
            <w:vAlign w:val="center"/>
          </w:tcPr>
          <w:p w:rsidR="00A07EC4" w:rsidRPr="00964CE1" w:rsidRDefault="00A07EC4" w:rsidP="007830F5">
            <w:pPr>
              <w:pStyle w:val="a4"/>
              <w:spacing w:before="100" w:beforeAutospacing="1" w:after="100" w:afterAutospacing="1"/>
              <w:jc w:val="center"/>
              <w:rPr>
                <w:rFonts w:ascii="Times New Roman" w:hAnsi="Times New Roman"/>
                <w:sz w:val="26"/>
                <w:szCs w:val="26"/>
                <w:lang w:val="uk-UA"/>
              </w:rPr>
            </w:pPr>
            <w:r w:rsidRPr="00964CE1">
              <w:rPr>
                <w:rFonts w:ascii="Times New Roman" w:hAnsi="Times New Roman"/>
                <w:sz w:val="26"/>
                <w:szCs w:val="26"/>
                <w:lang w:val="uk-UA"/>
              </w:rPr>
              <w:t>Перший рік запровадження</w:t>
            </w:r>
            <w:r>
              <w:rPr>
                <w:rFonts w:ascii="Times New Roman" w:hAnsi="Times New Roman"/>
                <w:sz w:val="26"/>
                <w:szCs w:val="26"/>
                <w:lang w:val="uk-UA"/>
              </w:rPr>
              <w:t>(2018 рік)</w:t>
            </w:r>
          </w:p>
        </w:tc>
        <w:tc>
          <w:tcPr>
            <w:tcW w:w="1323" w:type="dxa"/>
            <w:vAlign w:val="center"/>
          </w:tcPr>
          <w:p w:rsidR="00A07EC4" w:rsidRPr="00964CE1" w:rsidRDefault="00A07EC4" w:rsidP="007830F5">
            <w:pPr>
              <w:pStyle w:val="a4"/>
              <w:spacing w:before="100" w:beforeAutospacing="1" w:after="100" w:afterAutospacing="1"/>
              <w:jc w:val="center"/>
              <w:rPr>
                <w:rFonts w:ascii="Times New Roman" w:hAnsi="Times New Roman"/>
                <w:sz w:val="26"/>
                <w:szCs w:val="26"/>
                <w:lang w:val="uk-UA"/>
              </w:rPr>
            </w:pPr>
            <w:r w:rsidRPr="00964CE1">
              <w:rPr>
                <w:rFonts w:ascii="Times New Roman" w:hAnsi="Times New Roman"/>
                <w:sz w:val="26"/>
                <w:szCs w:val="26"/>
                <w:lang w:val="uk-UA"/>
              </w:rPr>
              <w:t>2019 рік</w:t>
            </w:r>
            <w:r>
              <w:rPr>
                <w:rFonts w:ascii="Times New Roman" w:hAnsi="Times New Roman"/>
                <w:sz w:val="26"/>
                <w:szCs w:val="26"/>
                <w:lang w:val="uk-UA"/>
              </w:rPr>
              <w:t xml:space="preserve"> (прогноз)</w:t>
            </w:r>
          </w:p>
        </w:tc>
      </w:tr>
      <w:tr w:rsidR="00A07EC4" w:rsidRPr="00732D07" w:rsidTr="001D56FC">
        <w:trPr>
          <w:trHeight w:val="266"/>
        </w:trPr>
        <w:tc>
          <w:tcPr>
            <w:tcW w:w="555" w:type="dxa"/>
            <w:vAlign w:val="center"/>
          </w:tcPr>
          <w:p w:rsidR="00A07EC4" w:rsidRPr="00696FB4" w:rsidRDefault="00A07EC4" w:rsidP="00290893">
            <w:pPr>
              <w:pStyle w:val="a4"/>
              <w:spacing w:before="100" w:beforeAutospacing="1" w:after="100" w:afterAutospacing="1"/>
              <w:rPr>
                <w:rFonts w:ascii="Times New Roman" w:hAnsi="Times New Roman"/>
                <w:sz w:val="24"/>
                <w:szCs w:val="24"/>
                <w:lang w:val="uk-UA"/>
              </w:rPr>
            </w:pPr>
            <w:r w:rsidRPr="00696FB4">
              <w:rPr>
                <w:rFonts w:ascii="Times New Roman" w:hAnsi="Times New Roman"/>
                <w:sz w:val="24"/>
                <w:szCs w:val="24"/>
                <w:lang w:val="uk-UA"/>
              </w:rPr>
              <w:t>1</w:t>
            </w:r>
          </w:p>
        </w:tc>
        <w:tc>
          <w:tcPr>
            <w:tcW w:w="6033" w:type="dxa"/>
            <w:vAlign w:val="center"/>
          </w:tcPr>
          <w:p w:rsidR="00A07EC4" w:rsidRPr="00696FB4" w:rsidRDefault="00A07EC4" w:rsidP="00290893">
            <w:pPr>
              <w:pStyle w:val="a4"/>
              <w:spacing w:before="100" w:beforeAutospacing="1" w:after="100" w:afterAutospacing="1"/>
              <w:jc w:val="center"/>
              <w:rPr>
                <w:rFonts w:ascii="Times New Roman" w:hAnsi="Times New Roman"/>
                <w:sz w:val="24"/>
                <w:szCs w:val="24"/>
                <w:lang w:val="uk-UA"/>
              </w:rPr>
            </w:pPr>
            <w:r w:rsidRPr="00696FB4">
              <w:rPr>
                <w:rFonts w:ascii="Times New Roman" w:hAnsi="Times New Roman"/>
                <w:sz w:val="24"/>
                <w:szCs w:val="24"/>
                <w:lang w:val="uk-UA"/>
              </w:rPr>
              <w:t>2</w:t>
            </w:r>
          </w:p>
        </w:tc>
        <w:tc>
          <w:tcPr>
            <w:tcW w:w="1980" w:type="dxa"/>
            <w:vAlign w:val="center"/>
          </w:tcPr>
          <w:p w:rsidR="00A07EC4" w:rsidRPr="00696FB4" w:rsidRDefault="00A07EC4" w:rsidP="00290893">
            <w:pPr>
              <w:pStyle w:val="a4"/>
              <w:spacing w:before="100" w:beforeAutospacing="1" w:after="100" w:afterAutospacing="1"/>
              <w:jc w:val="center"/>
              <w:rPr>
                <w:rFonts w:ascii="Times New Roman" w:hAnsi="Times New Roman"/>
                <w:sz w:val="24"/>
                <w:szCs w:val="24"/>
                <w:lang w:val="uk-UA"/>
              </w:rPr>
            </w:pPr>
            <w:r w:rsidRPr="00696FB4">
              <w:rPr>
                <w:rFonts w:ascii="Times New Roman" w:hAnsi="Times New Roman"/>
                <w:sz w:val="24"/>
                <w:szCs w:val="24"/>
                <w:lang w:val="uk-UA"/>
              </w:rPr>
              <w:t>3</w:t>
            </w:r>
          </w:p>
        </w:tc>
        <w:tc>
          <w:tcPr>
            <w:tcW w:w="1323" w:type="dxa"/>
            <w:vAlign w:val="center"/>
          </w:tcPr>
          <w:p w:rsidR="00A07EC4" w:rsidRPr="00696FB4" w:rsidRDefault="00A07EC4" w:rsidP="00290893">
            <w:pPr>
              <w:pStyle w:val="a4"/>
              <w:spacing w:before="100" w:beforeAutospacing="1" w:after="100" w:afterAutospacing="1"/>
              <w:jc w:val="center"/>
              <w:rPr>
                <w:rFonts w:ascii="Times New Roman" w:hAnsi="Times New Roman"/>
                <w:sz w:val="24"/>
                <w:szCs w:val="24"/>
                <w:lang w:val="uk-UA"/>
              </w:rPr>
            </w:pPr>
            <w:r w:rsidRPr="00696FB4">
              <w:rPr>
                <w:rFonts w:ascii="Times New Roman" w:hAnsi="Times New Roman"/>
                <w:sz w:val="24"/>
                <w:szCs w:val="24"/>
                <w:lang w:val="uk-UA"/>
              </w:rPr>
              <w:t>4</w:t>
            </w:r>
          </w:p>
        </w:tc>
      </w:tr>
      <w:tr w:rsidR="00A07EC4" w:rsidRPr="00732D07" w:rsidTr="00DC5A16">
        <w:trPr>
          <w:trHeight w:val="276"/>
        </w:trPr>
        <w:tc>
          <w:tcPr>
            <w:tcW w:w="9891" w:type="dxa"/>
            <w:gridSpan w:val="4"/>
            <w:vAlign w:val="center"/>
          </w:tcPr>
          <w:p w:rsidR="00A07EC4" w:rsidRPr="00964CE1" w:rsidRDefault="00A07EC4" w:rsidP="00290893">
            <w:pPr>
              <w:pStyle w:val="a4"/>
              <w:spacing w:before="100" w:beforeAutospacing="1" w:after="100" w:afterAutospacing="1"/>
              <w:rPr>
                <w:rFonts w:ascii="Times New Roman" w:hAnsi="Times New Roman"/>
                <w:sz w:val="26"/>
                <w:szCs w:val="26"/>
                <w:lang w:val="uk-UA"/>
              </w:rPr>
            </w:pPr>
            <w:r w:rsidRPr="00964CE1">
              <w:rPr>
                <w:rFonts w:ascii="Times New Roman" w:hAnsi="Times New Roman"/>
                <w:sz w:val="26"/>
                <w:szCs w:val="26"/>
                <w:lang w:val="uk-UA"/>
              </w:rPr>
              <w:t>Кількісні</w:t>
            </w:r>
          </w:p>
        </w:tc>
      </w:tr>
      <w:tr w:rsidR="00A07EC4" w:rsidRPr="00732D07" w:rsidTr="001D56FC">
        <w:tc>
          <w:tcPr>
            <w:tcW w:w="555" w:type="dxa"/>
            <w:vAlign w:val="center"/>
          </w:tcPr>
          <w:p w:rsidR="00A07EC4" w:rsidRPr="00964CE1" w:rsidRDefault="00A07EC4" w:rsidP="00290893">
            <w:pPr>
              <w:pStyle w:val="a4"/>
              <w:spacing w:before="100" w:beforeAutospacing="1" w:after="100" w:afterAutospacing="1"/>
              <w:rPr>
                <w:rFonts w:ascii="Times New Roman" w:hAnsi="Times New Roman"/>
                <w:sz w:val="26"/>
                <w:szCs w:val="26"/>
                <w:lang w:val="uk-UA"/>
              </w:rPr>
            </w:pPr>
            <w:r>
              <w:rPr>
                <w:rFonts w:ascii="Times New Roman" w:hAnsi="Times New Roman"/>
                <w:sz w:val="26"/>
                <w:szCs w:val="26"/>
                <w:lang w:val="uk-UA"/>
              </w:rPr>
              <w:t>1</w:t>
            </w:r>
          </w:p>
        </w:tc>
        <w:tc>
          <w:tcPr>
            <w:tcW w:w="6033" w:type="dxa"/>
          </w:tcPr>
          <w:p w:rsidR="00A07EC4" w:rsidRPr="00964CE1" w:rsidRDefault="00A07EC4" w:rsidP="00290893">
            <w:pPr>
              <w:pStyle w:val="a4"/>
              <w:spacing w:before="100" w:beforeAutospacing="1" w:after="100" w:afterAutospacing="1"/>
              <w:rPr>
                <w:rFonts w:ascii="Times New Roman" w:hAnsi="Times New Roman"/>
                <w:sz w:val="26"/>
                <w:szCs w:val="26"/>
                <w:lang w:val="uk-UA"/>
              </w:rPr>
            </w:pPr>
            <w:r w:rsidRPr="00964CE1">
              <w:rPr>
                <w:rFonts w:ascii="Times New Roman" w:hAnsi="Times New Roman"/>
                <w:sz w:val="26"/>
                <w:szCs w:val="26"/>
                <w:lang w:val="uk-UA"/>
              </w:rPr>
              <w:t xml:space="preserve">Кількість звернень юридичних </w:t>
            </w:r>
            <w:r>
              <w:rPr>
                <w:rFonts w:ascii="Times New Roman" w:hAnsi="Times New Roman"/>
                <w:sz w:val="26"/>
                <w:szCs w:val="26"/>
                <w:lang w:val="uk-UA"/>
              </w:rPr>
              <w:t xml:space="preserve">і </w:t>
            </w:r>
            <w:r w:rsidRPr="00964CE1">
              <w:rPr>
                <w:rFonts w:ascii="Times New Roman" w:hAnsi="Times New Roman"/>
                <w:sz w:val="26"/>
                <w:szCs w:val="26"/>
                <w:lang w:val="uk-UA"/>
              </w:rPr>
              <w:t>фізичних</w:t>
            </w:r>
            <w:r>
              <w:rPr>
                <w:rFonts w:ascii="Times New Roman" w:hAnsi="Times New Roman"/>
                <w:sz w:val="26"/>
                <w:szCs w:val="26"/>
                <w:lang w:val="uk-UA"/>
              </w:rPr>
              <w:t xml:space="preserve"> осіб до</w:t>
            </w:r>
            <w:r w:rsidRPr="00964CE1">
              <w:rPr>
                <w:rFonts w:ascii="Times New Roman" w:hAnsi="Times New Roman"/>
                <w:sz w:val="26"/>
                <w:szCs w:val="26"/>
                <w:lang w:val="uk-UA"/>
              </w:rPr>
              <w:t xml:space="preserve"> Департамент</w:t>
            </w:r>
            <w:r>
              <w:rPr>
                <w:rFonts w:ascii="Times New Roman" w:hAnsi="Times New Roman"/>
                <w:sz w:val="26"/>
                <w:szCs w:val="26"/>
                <w:lang w:val="uk-UA"/>
              </w:rPr>
              <w:t>у</w:t>
            </w:r>
            <w:r w:rsidRPr="00964CE1">
              <w:rPr>
                <w:rFonts w:ascii="Times New Roman" w:hAnsi="Times New Roman"/>
                <w:sz w:val="26"/>
                <w:szCs w:val="26"/>
                <w:lang w:val="uk-UA"/>
              </w:rPr>
              <w:t xml:space="preserve"> з питань</w:t>
            </w:r>
            <w:r>
              <w:rPr>
                <w:rFonts w:ascii="Times New Roman" w:hAnsi="Times New Roman"/>
                <w:sz w:val="26"/>
                <w:szCs w:val="26"/>
                <w:lang w:val="uk-UA"/>
              </w:rPr>
              <w:t xml:space="preserve"> предмету</w:t>
            </w:r>
            <w:r w:rsidRPr="00964CE1">
              <w:rPr>
                <w:rFonts w:ascii="Times New Roman" w:hAnsi="Times New Roman"/>
                <w:sz w:val="26"/>
                <w:szCs w:val="26"/>
                <w:lang w:val="uk-UA"/>
              </w:rPr>
              <w:t xml:space="preserve"> регулювання,</w:t>
            </w:r>
            <w:r w:rsidR="007830F5">
              <w:rPr>
                <w:rFonts w:ascii="Times New Roman" w:hAnsi="Times New Roman"/>
                <w:sz w:val="26"/>
                <w:szCs w:val="26"/>
                <w:lang w:val="uk-UA"/>
              </w:rPr>
              <w:t xml:space="preserve"> </w:t>
            </w:r>
            <w:r w:rsidRPr="00964CE1">
              <w:rPr>
                <w:rFonts w:ascii="Times New Roman" w:hAnsi="Times New Roman"/>
                <w:sz w:val="26"/>
                <w:szCs w:val="26"/>
                <w:lang w:val="uk-UA"/>
              </w:rPr>
              <w:t>од.</w:t>
            </w:r>
          </w:p>
        </w:tc>
        <w:tc>
          <w:tcPr>
            <w:tcW w:w="1980" w:type="dxa"/>
            <w:vAlign w:val="center"/>
          </w:tcPr>
          <w:p w:rsidR="00A07EC4" w:rsidRPr="00964CE1" w:rsidRDefault="00A07EC4" w:rsidP="00DC5A16">
            <w:pPr>
              <w:pStyle w:val="a4"/>
              <w:spacing w:before="100" w:beforeAutospacing="1" w:after="100" w:afterAutospacing="1"/>
              <w:jc w:val="center"/>
              <w:rPr>
                <w:rFonts w:ascii="Times New Roman" w:hAnsi="Times New Roman"/>
                <w:sz w:val="26"/>
                <w:szCs w:val="26"/>
                <w:lang w:val="uk-UA"/>
              </w:rPr>
            </w:pPr>
            <w:r>
              <w:rPr>
                <w:rFonts w:ascii="Times New Roman" w:hAnsi="Times New Roman"/>
                <w:sz w:val="26"/>
                <w:szCs w:val="26"/>
                <w:lang w:val="uk-UA"/>
              </w:rPr>
              <w:t>30</w:t>
            </w:r>
          </w:p>
        </w:tc>
        <w:tc>
          <w:tcPr>
            <w:tcW w:w="1323" w:type="dxa"/>
            <w:vAlign w:val="center"/>
          </w:tcPr>
          <w:p w:rsidR="00A07EC4" w:rsidRPr="00964CE1" w:rsidRDefault="00A07EC4" w:rsidP="00DC5A16">
            <w:pPr>
              <w:pStyle w:val="a4"/>
              <w:spacing w:before="100" w:beforeAutospacing="1" w:after="100" w:afterAutospacing="1"/>
              <w:jc w:val="center"/>
              <w:rPr>
                <w:rFonts w:ascii="Times New Roman" w:hAnsi="Times New Roman"/>
                <w:sz w:val="26"/>
                <w:szCs w:val="26"/>
                <w:lang w:val="uk-UA"/>
              </w:rPr>
            </w:pPr>
            <w:r>
              <w:rPr>
                <w:rFonts w:ascii="Times New Roman" w:hAnsi="Times New Roman"/>
                <w:sz w:val="26"/>
                <w:szCs w:val="26"/>
                <w:lang w:val="uk-UA"/>
              </w:rPr>
              <w:t>4</w:t>
            </w:r>
            <w:r w:rsidRPr="00964CE1">
              <w:rPr>
                <w:rFonts w:ascii="Times New Roman" w:hAnsi="Times New Roman"/>
                <w:sz w:val="26"/>
                <w:szCs w:val="26"/>
                <w:lang w:val="uk-UA"/>
              </w:rPr>
              <w:t>5</w:t>
            </w:r>
          </w:p>
        </w:tc>
      </w:tr>
      <w:tr w:rsidR="00A07EC4" w:rsidRPr="00732D07" w:rsidTr="00DC5A16">
        <w:trPr>
          <w:trHeight w:val="300"/>
        </w:trPr>
        <w:tc>
          <w:tcPr>
            <w:tcW w:w="9891" w:type="dxa"/>
            <w:gridSpan w:val="4"/>
            <w:vAlign w:val="center"/>
          </w:tcPr>
          <w:p w:rsidR="00A07EC4" w:rsidRPr="00964CE1" w:rsidRDefault="00A07EC4" w:rsidP="00290893">
            <w:pPr>
              <w:pStyle w:val="a4"/>
              <w:spacing w:before="100" w:beforeAutospacing="1" w:after="100" w:afterAutospacing="1"/>
              <w:rPr>
                <w:rFonts w:ascii="Times New Roman" w:hAnsi="Times New Roman"/>
                <w:sz w:val="26"/>
                <w:szCs w:val="26"/>
                <w:lang w:val="uk-UA"/>
              </w:rPr>
            </w:pPr>
            <w:r w:rsidRPr="00964CE1">
              <w:rPr>
                <w:rFonts w:ascii="Times New Roman" w:hAnsi="Times New Roman"/>
                <w:sz w:val="26"/>
                <w:szCs w:val="26"/>
                <w:lang w:val="uk-UA"/>
              </w:rPr>
              <w:t>Якісні</w:t>
            </w:r>
            <w:r>
              <w:rPr>
                <w:rFonts w:ascii="Times New Roman" w:hAnsi="Times New Roman"/>
                <w:sz w:val="26"/>
                <w:szCs w:val="26"/>
                <w:lang w:val="uk-UA"/>
              </w:rPr>
              <w:t>*</w:t>
            </w:r>
            <w:r w:rsidRPr="00964CE1">
              <w:rPr>
                <w:rFonts w:ascii="Times New Roman" w:hAnsi="Times New Roman"/>
                <w:sz w:val="26"/>
                <w:szCs w:val="26"/>
                <w:lang w:val="uk-UA"/>
              </w:rPr>
              <w:t xml:space="preserve"> (у бальній системі)</w:t>
            </w:r>
          </w:p>
        </w:tc>
      </w:tr>
      <w:tr w:rsidR="00A07EC4" w:rsidRPr="00732D07" w:rsidTr="001D56FC">
        <w:tc>
          <w:tcPr>
            <w:tcW w:w="555" w:type="dxa"/>
            <w:vAlign w:val="center"/>
          </w:tcPr>
          <w:p w:rsidR="00A07EC4" w:rsidRPr="00964CE1" w:rsidRDefault="00A07EC4" w:rsidP="00290893">
            <w:pPr>
              <w:pStyle w:val="a4"/>
              <w:spacing w:before="100" w:beforeAutospacing="1" w:after="100" w:afterAutospacing="1"/>
              <w:rPr>
                <w:rFonts w:ascii="Times New Roman" w:hAnsi="Times New Roman"/>
                <w:sz w:val="26"/>
                <w:szCs w:val="26"/>
                <w:lang w:val="uk-UA"/>
              </w:rPr>
            </w:pPr>
            <w:r>
              <w:rPr>
                <w:rFonts w:ascii="Times New Roman" w:hAnsi="Times New Roman"/>
                <w:sz w:val="26"/>
                <w:szCs w:val="26"/>
                <w:lang w:val="uk-UA"/>
              </w:rPr>
              <w:t>2</w:t>
            </w:r>
          </w:p>
        </w:tc>
        <w:tc>
          <w:tcPr>
            <w:tcW w:w="6033" w:type="dxa"/>
          </w:tcPr>
          <w:p w:rsidR="00A07EC4" w:rsidRPr="00964CE1" w:rsidRDefault="00A07EC4" w:rsidP="00290893">
            <w:pPr>
              <w:pStyle w:val="a4"/>
              <w:spacing w:before="100" w:beforeAutospacing="1" w:after="100" w:afterAutospacing="1"/>
              <w:rPr>
                <w:rFonts w:ascii="Times New Roman" w:hAnsi="Times New Roman"/>
                <w:sz w:val="26"/>
                <w:szCs w:val="26"/>
                <w:lang w:val="uk-UA"/>
              </w:rPr>
            </w:pPr>
            <w:r>
              <w:rPr>
                <w:rFonts w:ascii="Times New Roman" w:hAnsi="Times New Roman"/>
                <w:sz w:val="26"/>
                <w:szCs w:val="26"/>
                <w:lang w:val="uk-UA"/>
              </w:rPr>
              <w:t>Рівень п</w:t>
            </w:r>
            <w:r w:rsidRPr="00964CE1">
              <w:rPr>
                <w:rFonts w:ascii="Times New Roman" w:hAnsi="Times New Roman"/>
                <w:sz w:val="26"/>
                <w:szCs w:val="26"/>
                <w:lang w:val="uk-UA"/>
              </w:rPr>
              <w:t xml:space="preserve">окращення якості обслуговування фізичних та юридичних осіб </w:t>
            </w:r>
            <w:r>
              <w:rPr>
                <w:rFonts w:ascii="Times New Roman" w:hAnsi="Times New Roman"/>
                <w:sz w:val="26"/>
                <w:szCs w:val="26"/>
                <w:lang w:val="uk-UA"/>
              </w:rPr>
              <w:t xml:space="preserve">при зверненні </w:t>
            </w:r>
            <w:r w:rsidRPr="00964CE1">
              <w:rPr>
                <w:rFonts w:ascii="Times New Roman" w:hAnsi="Times New Roman"/>
                <w:sz w:val="26"/>
                <w:szCs w:val="26"/>
                <w:lang w:val="uk-UA"/>
              </w:rPr>
              <w:t xml:space="preserve">з </w:t>
            </w:r>
            <w:r>
              <w:rPr>
                <w:rFonts w:ascii="Times New Roman" w:hAnsi="Times New Roman"/>
                <w:sz w:val="26"/>
                <w:szCs w:val="26"/>
                <w:lang w:val="uk-UA"/>
              </w:rPr>
              <w:t>предмету</w:t>
            </w:r>
            <w:r w:rsidRPr="00964CE1">
              <w:rPr>
                <w:rFonts w:ascii="Times New Roman" w:hAnsi="Times New Roman"/>
                <w:sz w:val="26"/>
                <w:szCs w:val="26"/>
                <w:lang w:val="uk-UA"/>
              </w:rPr>
              <w:t xml:space="preserve"> регулювання </w:t>
            </w:r>
            <w:r>
              <w:rPr>
                <w:rFonts w:ascii="Times New Roman" w:hAnsi="Times New Roman"/>
                <w:sz w:val="26"/>
                <w:szCs w:val="26"/>
                <w:lang w:val="uk-UA"/>
              </w:rPr>
              <w:t>до</w:t>
            </w:r>
            <w:r w:rsidRPr="00964CE1">
              <w:rPr>
                <w:rFonts w:ascii="Times New Roman" w:hAnsi="Times New Roman"/>
                <w:sz w:val="26"/>
                <w:szCs w:val="26"/>
                <w:lang w:val="uk-UA"/>
              </w:rPr>
              <w:t xml:space="preserve"> Департамент</w:t>
            </w:r>
            <w:r>
              <w:rPr>
                <w:rFonts w:ascii="Times New Roman" w:hAnsi="Times New Roman"/>
                <w:sz w:val="26"/>
                <w:szCs w:val="26"/>
                <w:lang w:val="uk-UA"/>
              </w:rPr>
              <w:t>у</w:t>
            </w:r>
          </w:p>
        </w:tc>
        <w:tc>
          <w:tcPr>
            <w:tcW w:w="1980" w:type="dxa"/>
            <w:vAlign w:val="center"/>
          </w:tcPr>
          <w:p w:rsidR="00A07EC4" w:rsidRPr="00964CE1" w:rsidRDefault="00A07EC4" w:rsidP="00DC5A16">
            <w:pPr>
              <w:pStyle w:val="a4"/>
              <w:spacing w:before="100" w:beforeAutospacing="1" w:after="100" w:afterAutospacing="1"/>
              <w:jc w:val="center"/>
              <w:rPr>
                <w:rFonts w:ascii="Times New Roman" w:hAnsi="Times New Roman"/>
                <w:sz w:val="26"/>
                <w:szCs w:val="26"/>
                <w:lang w:val="uk-UA"/>
              </w:rPr>
            </w:pPr>
            <w:r>
              <w:rPr>
                <w:rFonts w:ascii="Times New Roman" w:hAnsi="Times New Roman"/>
                <w:sz w:val="26"/>
                <w:szCs w:val="26"/>
                <w:lang w:val="uk-UA"/>
              </w:rPr>
              <w:t>3</w:t>
            </w:r>
          </w:p>
        </w:tc>
        <w:tc>
          <w:tcPr>
            <w:tcW w:w="1323" w:type="dxa"/>
            <w:vAlign w:val="center"/>
          </w:tcPr>
          <w:p w:rsidR="00A07EC4" w:rsidRPr="00964CE1" w:rsidRDefault="00A07EC4" w:rsidP="00DC5A16">
            <w:pPr>
              <w:pStyle w:val="a4"/>
              <w:spacing w:before="100" w:beforeAutospacing="1" w:after="100" w:afterAutospacing="1"/>
              <w:jc w:val="center"/>
              <w:rPr>
                <w:rFonts w:ascii="Times New Roman" w:hAnsi="Times New Roman"/>
                <w:sz w:val="26"/>
                <w:szCs w:val="26"/>
                <w:lang w:val="uk-UA"/>
              </w:rPr>
            </w:pPr>
            <w:r w:rsidRPr="00964CE1">
              <w:rPr>
                <w:rFonts w:ascii="Times New Roman" w:hAnsi="Times New Roman"/>
                <w:sz w:val="26"/>
                <w:szCs w:val="26"/>
                <w:lang w:val="uk-UA"/>
              </w:rPr>
              <w:t>4</w:t>
            </w:r>
          </w:p>
        </w:tc>
      </w:tr>
      <w:tr w:rsidR="00A07EC4" w:rsidRPr="00732D07" w:rsidTr="001D56FC">
        <w:tc>
          <w:tcPr>
            <w:tcW w:w="555" w:type="dxa"/>
            <w:vAlign w:val="center"/>
          </w:tcPr>
          <w:p w:rsidR="00A07EC4" w:rsidRPr="00964CE1" w:rsidRDefault="00A07EC4" w:rsidP="00290893">
            <w:pPr>
              <w:pStyle w:val="a4"/>
              <w:spacing w:before="100" w:beforeAutospacing="1" w:after="100" w:afterAutospacing="1"/>
              <w:rPr>
                <w:rFonts w:ascii="Times New Roman" w:hAnsi="Times New Roman"/>
                <w:sz w:val="26"/>
                <w:szCs w:val="26"/>
                <w:lang w:val="uk-UA"/>
              </w:rPr>
            </w:pPr>
            <w:r>
              <w:rPr>
                <w:rFonts w:ascii="Times New Roman" w:hAnsi="Times New Roman"/>
                <w:sz w:val="26"/>
                <w:szCs w:val="26"/>
                <w:lang w:val="uk-UA"/>
              </w:rPr>
              <w:t>3</w:t>
            </w:r>
          </w:p>
        </w:tc>
        <w:tc>
          <w:tcPr>
            <w:tcW w:w="6033" w:type="dxa"/>
          </w:tcPr>
          <w:p w:rsidR="00A07EC4" w:rsidRPr="00964CE1" w:rsidRDefault="00A07EC4" w:rsidP="00290893">
            <w:pPr>
              <w:pStyle w:val="a4"/>
              <w:spacing w:before="100" w:beforeAutospacing="1" w:after="100" w:afterAutospacing="1"/>
              <w:rPr>
                <w:rFonts w:ascii="Times New Roman" w:hAnsi="Times New Roman"/>
                <w:sz w:val="26"/>
                <w:szCs w:val="26"/>
                <w:lang w:val="uk-UA"/>
              </w:rPr>
            </w:pPr>
            <w:r>
              <w:rPr>
                <w:rFonts w:ascii="Times New Roman" w:hAnsi="Times New Roman"/>
                <w:sz w:val="26"/>
                <w:szCs w:val="26"/>
                <w:lang w:val="uk-UA"/>
              </w:rPr>
              <w:t>Рівень з</w:t>
            </w:r>
            <w:r w:rsidRPr="00964CE1">
              <w:rPr>
                <w:rFonts w:ascii="Times New Roman" w:hAnsi="Times New Roman"/>
                <w:sz w:val="26"/>
                <w:szCs w:val="26"/>
                <w:lang w:val="uk-UA"/>
              </w:rPr>
              <w:t>ручн</w:t>
            </w:r>
            <w:r>
              <w:rPr>
                <w:rFonts w:ascii="Times New Roman" w:hAnsi="Times New Roman"/>
                <w:sz w:val="26"/>
                <w:szCs w:val="26"/>
                <w:lang w:val="uk-UA"/>
              </w:rPr>
              <w:t>о</w:t>
            </w:r>
            <w:r w:rsidRPr="00964CE1">
              <w:rPr>
                <w:rFonts w:ascii="Times New Roman" w:hAnsi="Times New Roman"/>
                <w:sz w:val="26"/>
                <w:szCs w:val="26"/>
                <w:lang w:val="uk-UA"/>
              </w:rPr>
              <w:t>ст</w:t>
            </w:r>
            <w:r>
              <w:rPr>
                <w:rFonts w:ascii="Times New Roman" w:hAnsi="Times New Roman"/>
                <w:sz w:val="26"/>
                <w:szCs w:val="26"/>
                <w:lang w:val="uk-UA"/>
              </w:rPr>
              <w:t>і порядку</w:t>
            </w:r>
            <w:r w:rsidRPr="00964CE1">
              <w:rPr>
                <w:rFonts w:ascii="Times New Roman" w:hAnsi="Times New Roman"/>
                <w:sz w:val="26"/>
                <w:szCs w:val="26"/>
                <w:lang w:val="uk-UA"/>
              </w:rPr>
              <w:t xml:space="preserve"> обстеження стану житлових/нежитлових  будинків, житлових/нежитлових  приміщень, квартир та житлових/нежитлових  приміщень гуртожитків комунальної власнос</w:t>
            </w:r>
            <w:r>
              <w:rPr>
                <w:rFonts w:ascii="Times New Roman" w:hAnsi="Times New Roman"/>
                <w:sz w:val="26"/>
                <w:szCs w:val="26"/>
                <w:lang w:val="uk-UA"/>
              </w:rPr>
              <w:t>ті територіальної громади міста</w:t>
            </w:r>
          </w:p>
        </w:tc>
        <w:tc>
          <w:tcPr>
            <w:tcW w:w="1980" w:type="dxa"/>
            <w:vAlign w:val="center"/>
          </w:tcPr>
          <w:p w:rsidR="00A07EC4" w:rsidRPr="00964CE1" w:rsidRDefault="00A07EC4" w:rsidP="00DC5A16">
            <w:pPr>
              <w:pStyle w:val="a4"/>
              <w:spacing w:before="100" w:beforeAutospacing="1" w:after="100" w:afterAutospacing="1"/>
              <w:jc w:val="center"/>
              <w:rPr>
                <w:rFonts w:ascii="Times New Roman" w:hAnsi="Times New Roman"/>
                <w:sz w:val="26"/>
                <w:szCs w:val="26"/>
                <w:lang w:val="uk-UA"/>
              </w:rPr>
            </w:pPr>
            <w:r>
              <w:rPr>
                <w:rFonts w:ascii="Times New Roman" w:hAnsi="Times New Roman"/>
                <w:sz w:val="26"/>
                <w:szCs w:val="26"/>
                <w:lang w:val="uk-UA"/>
              </w:rPr>
              <w:t>3</w:t>
            </w:r>
          </w:p>
        </w:tc>
        <w:tc>
          <w:tcPr>
            <w:tcW w:w="1323" w:type="dxa"/>
            <w:vAlign w:val="center"/>
          </w:tcPr>
          <w:p w:rsidR="00A07EC4" w:rsidRPr="00964CE1" w:rsidRDefault="00A07EC4" w:rsidP="00DC5A16">
            <w:pPr>
              <w:pStyle w:val="a4"/>
              <w:spacing w:before="100" w:beforeAutospacing="1" w:after="100" w:afterAutospacing="1"/>
              <w:jc w:val="center"/>
              <w:rPr>
                <w:rFonts w:ascii="Times New Roman" w:hAnsi="Times New Roman"/>
                <w:sz w:val="26"/>
                <w:szCs w:val="26"/>
                <w:lang w:val="uk-UA"/>
              </w:rPr>
            </w:pPr>
            <w:r w:rsidRPr="00964CE1">
              <w:rPr>
                <w:rFonts w:ascii="Times New Roman" w:hAnsi="Times New Roman"/>
                <w:sz w:val="26"/>
                <w:szCs w:val="26"/>
                <w:lang w:val="uk-UA"/>
              </w:rPr>
              <w:t>4</w:t>
            </w:r>
          </w:p>
        </w:tc>
      </w:tr>
      <w:tr w:rsidR="00A07EC4" w:rsidRPr="00433E29" w:rsidTr="001D56FC">
        <w:tc>
          <w:tcPr>
            <w:tcW w:w="555" w:type="dxa"/>
            <w:vAlign w:val="center"/>
          </w:tcPr>
          <w:p w:rsidR="00A07EC4" w:rsidRPr="00964CE1" w:rsidRDefault="00A07EC4" w:rsidP="00290893">
            <w:pPr>
              <w:pStyle w:val="a4"/>
              <w:spacing w:before="100" w:beforeAutospacing="1" w:after="100" w:afterAutospacing="1"/>
              <w:rPr>
                <w:rFonts w:ascii="Times New Roman" w:hAnsi="Times New Roman"/>
                <w:sz w:val="26"/>
                <w:szCs w:val="26"/>
                <w:lang w:val="uk-UA"/>
              </w:rPr>
            </w:pPr>
            <w:r>
              <w:rPr>
                <w:rFonts w:ascii="Times New Roman" w:hAnsi="Times New Roman"/>
                <w:sz w:val="26"/>
                <w:szCs w:val="26"/>
                <w:lang w:val="uk-UA"/>
              </w:rPr>
              <w:t>4</w:t>
            </w:r>
          </w:p>
        </w:tc>
        <w:tc>
          <w:tcPr>
            <w:tcW w:w="6033" w:type="dxa"/>
          </w:tcPr>
          <w:p w:rsidR="00A07EC4" w:rsidRPr="00964CE1" w:rsidRDefault="00A07EC4" w:rsidP="00290893">
            <w:pPr>
              <w:pStyle w:val="a4"/>
              <w:spacing w:before="100" w:beforeAutospacing="1" w:after="100" w:afterAutospacing="1"/>
              <w:rPr>
                <w:rFonts w:ascii="Times New Roman" w:hAnsi="Times New Roman"/>
                <w:sz w:val="26"/>
                <w:szCs w:val="26"/>
                <w:lang w:val="uk-UA"/>
              </w:rPr>
            </w:pPr>
            <w:r w:rsidRPr="00964CE1">
              <w:rPr>
                <w:rFonts w:ascii="Times New Roman" w:hAnsi="Times New Roman"/>
                <w:sz w:val="26"/>
                <w:szCs w:val="26"/>
                <w:lang w:val="uk-UA"/>
              </w:rPr>
              <w:t xml:space="preserve">Рівень інформованості суб’єктів господарювання щодо основних положень регуляторного </w:t>
            </w:r>
            <w:proofErr w:type="spellStart"/>
            <w:r w:rsidRPr="00964CE1">
              <w:rPr>
                <w:rFonts w:ascii="Times New Roman" w:hAnsi="Times New Roman"/>
                <w:sz w:val="26"/>
                <w:szCs w:val="26"/>
                <w:lang w:val="uk-UA"/>
              </w:rPr>
              <w:t>акта</w:t>
            </w:r>
            <w:proofErr w:type="spellEnd"/>
          </w:p>
        </w:tc>
        <w:tc>
          <w:tcPr>
            <w:tcW w:w="1980" w:type="dxa"/>
            <w:vAlign w:val="center"/>
          </w:tcPr>
          <w:p w:rsidR="00A07EC4" w:rsidRPr="00964CE1" w:rsidRDefault="00A07EC4" w:rsidP="00DC5A16">
            <w:pPr>
              <w:pStyle w:val="a4"/>
              <w:spacing w:before="100" w:beforeAutospacing="1" w:after="100" w:afterAutospacing="1"/>
              <w:jc w:val="center"/>
              <w:rPr>
                <w:rFonts w:ascii="Times New Roman" w:hAnsi="Times New Roman"/>
                <w:sz w:val="26"/>
                <w:szCs w:val="26"/>
                <w:lang w:val="uk-UA"/>
              </w:rPr>
            </w:pPr>
            <w:r w:rsidRPr="00964CE1">
              <w:rPr>
                <w:rFonts w:ascii="Times New Roman" w:hAnsi="Times New Roman"/>
                <w:sz w:val="26"/>
                <w:szCs w:val="26"/>
                <w:lang w:val="uk-UA"/>
              </w:rPr>
              <w:t>4</w:t>
            </w:r>
          </w:p>
        </w:tc>
        <w:tc>
          <w:tcPr>
            <w:tcW w:w="1323" w:type="dxa"/>
            <w:vAlign w:val="center"/>
          </w:tcPr>
          <w:p w:rsidR="00A07EC4" w:rsidRPr="00964CE1" w:rsidRDefault="00A07EC4" w:rsidP="00DC5A16">
            <w:pPr>
              <w:pStyle w:val="a4"/>
              <w:spacing w:before="100" w:beforeAutospacing="1" w:after="100" w:afterAutospacing="1"/>
              <w:jc w:val="center"/>
              <w:rPr>
                <w:rFonts w:ascii="Times New Roman" w:hAnsi="Times New Roman"/>
                <w:sz w:val="26"/>
                <w:szCs w:val="26"/>
                <w:lang w:val="uk-UA"/>
              </w:rPr>
            </w:pPr>
            <w:r w:rsidRPr="00964CE1">
              <w:rPr>
                <w:rFonts w:ascii="Times New Roman" w:hAnsi="Times New Roman"/>
                <w:sz w:val="26"/>
                <w:szCs w:val="26"/>
                <w:lang w:val="uk-UA"/>
              </w:rPr>
              <w:t>4</w:t>
            </w:r>
          </w:p>
        </w:tc>
      </w:tr>
    </w:tbl>
    <w:p w:rsidR="00A07EC4" w:rsidRPr="004545BD" w:rsidRDefault="00A07EC4" w:rsidP="00DC5A16">
      <w:pPr>
        <w:pStyle w:val="a5"/>
        <w:shd w:val="clear" w:color="auto" w:fill="FFFFFF"/>
        <w:spacing w:before="0" w:beforeAutospacing="0" w:after="0" w:afterAutospacing="0"/>
        <w:jc w:val="both"/>
        <w:rPr>
          <w:color w:val="000000"/>
          <w:sz w:val="26"/>
          <w:szCs w:val="26"/>
          <w:lang w:val="uk-UA"/>
        </w:rPr>
      </w:pPr>
      <w:r w:rsidRPr="004545BD">
        <w:rPr>
          <w:color w:val="000000"/>
          <w:sz w:val="26"/>
          <w:szCs w:val="26"/>
          <w:lang w:val="uk-UA"/>
        </w:rPr>
        <w:lastRenderedPageBreak/>
        <w:t xml:space="preserve">*Примітка – оцінка </w:t>
      </w:r>
      <w:r>
        <w:rPr>
          <w:color w:val="000000"/>
          <w:sz w:val="26"/>
          <w:szCs w:val="26"/>
          <w:lang w:val="uk-UA"/>
        </w:rPr>
        <w:t>здійснена за 4-бальною системою:</w:t>
      </w:r>
      <w:r w:rsidRPr="004545BD">
        <w:rPr>
          <w:color w:val="000000"/>
          <w:sz w:val="26"/>
          <w:szCs w:val="26"/>
          <w:lang w:val="uk-UA"/>
        </w:rPr>
        <w:t xml:space="preserve"> 4 – досягнуто у високій мірі результат якісного показника, 3 – досягнуто більш, ніж на 50% результат якісного показника, 2 – досягнуто менше, ніж на 50% результат якісного показника, 1 – практично не досягнуто.  </w:t>
      </w:r>
    </w:p>
    <w:p w:rsidR="00A07EC4" w:rsidRPr="00696FB4" w:rsidRDefault="00A07EC4" w:rsidP="00BE2E4C">
      <w:pPr>
        <w:tabs>
          <w:tab w:val="left" w:pos="9355"/>
        </w:tabs>
        <w:spacing w:after="0" w:line="240" w:lineRule="auto"/>
        <w:ind w:firstLine="567"/>
        <w:jc w:val="both"/>
        <w:rPr>
          <w:rFonts w:ascii="Times New Roman" w:hAnsi="Times New Roman"/>
          <w:b/>
          <w:sz w:val="26"/>
          <w:szCs w:val="26"/>
          <w:lang w:val="uk-UA"/>
        </w:rPr>
      </w:pPr>
      <w:r>
        <w:rPr>
          <w:rFonts w:ascii="Times New Roman" w:hAnsi="Times New Roman"/>
          <w:sz w:val="26"/>
          <w:szCs w:val="26"/>
          <w:lang w:val="uk-UA"/>
        </w:rPr>
        <w:t xml:space="preserve">Підвищення рівня інформованості громадян та суб’єктів господарювання щодо основних положень регуляторного </w:t>
      </w:r>
      <w:proofErr w:type="spellStart"/>
      <w:r>
        <w:rPr>
          <w:rFonts w:ascii="Times New Roman" w:hAnsi="Times New Roman"/>
          <w:sz w:val="26"/>
          <w:szCs w:val="26"/>
          <w:lang w:val="uk-UA"/>
        </w:rPr>
        <w:t>акта</w:t>
      </w:r>
      <w:proofErr w:type="spellEnd"/>
      <w:r>
        <w:rPr>
          <w:rFonts w:ascii="Times New Roman" w:hAnsi="Times New Roman"/>
          <w:sz w:val="26"/>
          <w:szCs w:val="26"/>
          <w:lang w:val="uk-UA"/>
        </w:rPr>
        <w:t xml:space="preserve"> досягнуто шляхом оприлюднення рішення на офіційному веб-сайті Дніпровської міської ради розділ «Регуляторна політика» та у газеті «Наше місто».</w:t>
      </w:r>
    </w:p>
    <w:p w:rsidR="00A07EC4" w:rsidRPr="00732D07" w:rsidRDefault="00BE2E4C" w:rsidP="00A5593B">
      <w:pPr>
        <w:tabs>
          <w:tab w:val="left" w:pos="9355"/>
        </w:tabs>
        <w:spacing w:after="0" w:line="240" w:lineRule="auto"/>
        <w:jc w:val="both"/>
        <w:rPr>
          <w:rFonts w:ascii="Times New Roman" w:hAnsi="Times New Roman"/>
          <w:sz w:val="26"/>
          <w:szCs w:val="26"/>
          <w:lang w:val="uk-UA"/>
        </w:rPr>
      </w:pPr>
      <w:r>
        <w:rPr>
          <w:rFonts w:ascii="Times New Roman" w:hAnsi="Times New Roman"/>
          <w:b/>
          <w:sz w:val="26"/>
          <w:szCs w:val="26"/>
          <w:lang w:val="uk-UA"/>
        </w:rPr>
        <w:t xml:space="preserve">         </w:t>
      </w:r>
      <w:r w:rsidR="00A07EC4" w:rsidRPr="004545BD">
        <w:rPr>
          <w:rFonts w:ascii="Times New Roman" w:hAnsi="Times New Roman"/>
          <w:b/>
          <w:sz w:val="26"/>
          <w:szCs w:val="26"/>
          <w:lang w:val="uk-UA"/>
        </w:rPr>
        <w:t xml:space="preserve">9. Оцінка результатів реалізації регуляторного </w:t>
      </w:r>
      <w:proofErr w:type="spellStart"/>
      <w:r w:rsidR="00A07EC4" w:rsidRPr="004545BD">
        <w:rPr>
          <w:rFonts w:ascii="Times New Roman" w:hAnsi="Times New Roman"/>
          <w:b/>
          <w:sz w:val="26"/>
          <w:szCs w:val="26"/>
          <w:lang w:val="uk-UA"/>
        </w:rPr>
        <w:t>акта</w:t>
      </w:r>
      <w:proofErr w:type="spellEnd"/>
      <w:r w:rsidR="00A07EC4" w:rsidRPr="004545BD">
        <w:rPr>
          <w:rFonts w:ascii="Times New Roman" w:hAnsi="Times New Roman"/>
          <w:b/>
          <w:sz w:val="26"/>
          <w:szCs w:val="26"/>
          <w:lang w:val="uk-UA"/>
        </w:rPr>
        <w:t>:</w:t>
      </w:r>
      <w:r w:rsidR="00A07EC4">
        <w:rPr>
          <w:rFonts w:ascii="Times New Roman" w:hAnsi="Times New Roman"/>
          <w:b/>
          <w:sz w:val="26"/>
          <w:szCs w:val="26"/>
          <w:lang w:val="uk-UA"/>
        </w:rPr>
        <w:t xml:space="preserve"> </w:t>
      </w:r>
      <w:r w:rsidR="00A07EC4" w:rsidRPr="00A5593B">
        <w:rPr>
          <w:rFonts w:ascii="Times New Roman" w:hAnsi="Times New Roman"/>
          <w:sz w:val="26"/>
          <w:szCs w:val="26"/>
          <w:lang w:val="uk-UA"/>
        </w:rPr>
        <w:t>в</w:t>
      </w:r>
      <w:r w:rsidR="00A07EC4">
        <w:rPr>
          <w:rFonts w:ascii="Times New Roman" w:hAnsi="Times New Roman"/>
          <w:sz w:val="26"/>
          <w:szCs w:val="26"/>
          <w:lang w:val="uk-UA"/>
        </w:rPr>
        <w:t>провадження р</w:t>
      </w:r>
      <w:r w:rsidR="00A07EC4" w:rsidRPr="004545BD">
        <w:rPr>
          <w:rFonts w:ascii="Times New Roman" w:hAnsi="Times New Roman"/>
          <w:sz w:val="26"/>
          <w:szCs w:val="26"/>
          <w:lang w:val="uk-UA"/>
        </w:rPr>
        <w:t>егуляторн</w:t>
      </w:r>
      <w:r w:rsidR="00A07EC4">
        <w:rPr>
          <w:rFonts w:ascii="Times New Roman" w:hAnsi="Times New Roman"/>
          <w:sz w:val="26"/>
          <w:szCs w:val="26"/>
          <w:lang w:val="uk-UA"/>
        </w:rPr>
        <w:t>ого</w:t>
      </w:r>
      <w:r w:rsidR="00A07EC4" w:rsidRPr="004545BD">
        <w:rPr>
          <w:rFonts w:ascii="Times New Roman" w:hAnsi="Times New Roman"/>
          <w:sz w:val="26"/>
          <w:szCs w:val="26"/>
          <w:lang w:val="uk-UA"/>
        </w:rPr>
        <w:t xml:space="preserve"> </w:t>
      </w:r>
      <w:proofErr w:type="spellStart"/>
      <w:r w:rsidR="00A07EC4" w:rsidRPr="004545BD">
        <w:rPr>
          <w:rFonts w:ascii="Times New Roman" w:hAnsi="Times New Roman"/>
          <w:sz w:val="26"/>
          <w:szCs w:val="26"/>
          <w:lang w:val="uk-UA"/>
        </w:rPr>
        <w:t>акт</w:t>
      </w:r>
      <w:r w:rsidR="00A07EC4">
        <w:rPr>
          <w:rFonts w:ascii="Times New Roman" w:hAnsi="Times New Roman"/>
          <w:sz w:val="26"/>
          <w:szCs w:val="26"/>
          <w:lang w:val="uk-UA"/>
        </w:rPr>
        <w:t>а</w:t>
      </w:r>
      <w:proofErr w:type="spellEnd"/>
      <w:r w:rsidR="00A07EC4">
        <w:rPr>
          <w:rFonts w:ascii="Times New Roman" w:hAnsi="Times New Roman"/>
          <w:sz w:val="26"/>
          <w:szCs w:val="26"/>
          <w:lang w:val="uk-UA"/>
        </w:rPr>
        <w:t xml:space="preserve"> </w:t>
      </w:r>
      <w:r w:rsidR="00A07EC4" w:rsidRPr="004545BD">
        <w:rPr>
          <w:rFonts w:ascii="Times New Roman" w:hAnsi="Times New Roman"/>
          <w:sz w:val="26"/>
          <w:szCs w:val="26"/>
          <w:lang w:val="uk-UA"/>
        </w:rPr>
        <w:t>має позитивн</w:t>
      </w:r>
      <w:r w:rsidR="00A07EC4">
        <w:rPr>
          <w:rFonts w:ascii="Times New Roman" w:hAnsi="Times New Roman"/>
          <w:sz w:val="26"/>
          <w:szCs w:val="26"/>
          <w:lang w:val="uk-UA"/>
        </w:rPr>
        <w:t>ий результат та дає можливість:</w:t>
      </w:r>
      <w:r w:rsidR="00A07EC4" w:rsidRPr="00732D07">
        <w:rPr>
          <w:color w:val="000000"/>
          <w:sz w:val="28"/>
          <w:szCs w:val="28"/>
          <w:shd w:val="clear" w:color="auto" w:fill="FFFFFF"/>
          <w:lang w:val="uk-UA"/>
        </w:rPr>
        <w:t xml:space="preserve"> </w:t>
      </w:r>
      <w:r w:rsidR="00A07EC4" w:rsidRPr="00732D07">
        <w:rPr>
          <w:rFonts w:ascii="Times New Roman" w:hAnsi="Times New Roman"/>
          <w:sz w:val="26"/>
          <w:szCs w:val="26"/>
          <w:lang w:val="uk-UA"/>
        </w:rPr>
        <w:t>здійсн</w:t>
      </w:r>
      <w:r w:rsidR="00A07EC4">
        <w:rPr>
          <w:rFonts w:ascii="Times New Roman" w:hAnsi="Times New Roman"/>
          <w:sz w:val="26"/>
          <w:szCs w:val="26"/>
          <w:lang w:val="uk-UA"/>
        </w:rPr>
        <w:t>ювати обстеження</w:t>
      </w:r>
      <w:r w:rsidR="00A07EC4" w:rsidRPr="00732D07">
        <w:rPr>
          <w:rFonts w:ascii="Times New Roman" w:hAnsi="Times New Roman"/>
          <w:sz w:val="26"/>
          <w:szCs w:val="26"/>
          <w:lang w:val="uk-UA"/>
        </w:rPr>
        <w:t xml:space="preserve"> </w:t>
      </w:r>
      <w:r w:rsidR="00A07EC4">
        <w:rPr>
          <w:rFonts w:ascii="Times New Roman" w:hAnsi="Times New Roman"/>
          <w:sz w:val="26"/>
          <w:szCs w:val="26"/>
          <w:lang w:val="uk-UA"/>
        </w:rPr>
        <w:t xml:space="preserve">за Порядком, визначеним законодавством </w:t>
      </w:r>
      <w:r w:rsidR="00A07EC4" w:rsidRPr="00732D07">
        <w:rPr>
          <w:rFonts w:ascii="Times New Roman" w:hAnsi="Times New Roman"/>
          <w:sz w:val="26"/>
          <w:szCs w:val="26"/>
          <w:lang w:val="uk-UA"/>
        </w:rPr>
        <w:t>для подальшої зміни правового режиму об’єктів нерухомого майна, передбачен</w:t>
      </w:r>
      <w:r w:rsidR="00A07EC4">
        <w:rPr>
          <w:rFonts w:ascii="Times New Roman" w:hAnsi="Times New Roman"/>
          <w:sz w:val="26"/>
          <w:szCs w:val="26"/>
          <w:lang w:val="uk-UA"/>
        </w:rPr>
        <w:t>ою чинними нормативни</w:t>
      </w:r>
      <w:bookmarkStart w:id="0" w:name="_GoBack"/>
      <w:bookmarkEnd w:id="0"/>
      <w:r w:rsidR="00A07EC4">
        <w:rPr>
          <w:rFonts w:ascii="Times New Roman" w:hAnsi="Times New Roman"/>
          <w:sz w:val="26"/>
          <w:szCs w:val="26"/>
          <w:lang w:val="uk-UA"/>
        </w:rPr>
        <w:t xml:space="preserve">ми актами; сприяти </w:t>
      </w:r>
      <w:r w:rsidR="00A07EC4" w:rsidRPr="00732D07">
        <w:rPr>
          <w:rFonts w:ascii="Times New Roman" w:hAnsi="Times New Roman"/>
          <w:sz w:val="26"/>
          <w:szCs w:val="26"/>
          <w:lang w:val="uk-UA"/>
        </w:rPr>
        <w:t xml:space="preserve">підвищенню рівня якості отримання послуг </w:t>
      </w:r>
      <w:r w:rsidR="00A07EC4">
        <w:rPr>
          <w:rFonts w:ascii="Times New Roman" w:hAnsi="Times New Roman"/>
          <w:sz w:val="26"/>
          <w:szCs w:val="26"/>
          <w:lang w:val="uk-UA"/>
        </w:rPr>
        <w:t>громадянами та суб’єктами господарювання</w:t>
      </w:r>
      <w:r w:rsidR="00A07EC4" w:rsidRPr="00732D07">
        <w:rPr>
          <w:rFonts w:ascii="Times New Roman" w:hAnsi="Times New Roman"/>
          <w:sz w:val="26"/>
          <w:szCs w:val="26"/>
          <w:lang w:val="uk-UA"/>
        </w:rPr>
        <w:t xml:space="preserve"> щодо обстеження стану житлових/</w:t>
      </w:r>
      <w:r>
        <w:rPr>
          <w:rFonts w:ascii="Times New Roman" w:hAnsi="Times New Roman"/>
          <w:sz w:val="26"/>
          <w:szCs w:val="26"/>
          <w:lang w:val="uk-UA"/>
        </w:rPr>
        <w:t xml:space="preserve"> </w:t>
      </w:r>
      <w:r w:rsidR="00A07EC4" w:rsidRPr="00732D07">
        <w:rPr>
          <w:rFonts w:ascii="Times New Roman" w:hAnsi="Times New Roman"/>
          <w:sz w:val="26"/>
          <w:szCs w:val="26"/>
          <w:lang w:val="uk-UA"/>
        </w:rPr>
        <w:t>нежитлових будинків, житлових/нежитлових  приміщень, квартир та житлових/</w:t>
      </w:r>
      <w:r>
        <w:rPr>
          <w:rFonts w:ascii="Times New Roman" w:hAnsi="Times New Roman"/>
          <w:sz w:val="26"/>
          <w:szCs w:val="26"/>
          <w:lang w:val="uk-UA"/>
        </w:rPr>
        <w:t xml:space="preserve"> </w:t>
      </w:r>
      <w:r w:rsidR="00A07EC4" w:rsidRPr="00732D07">
        <w:rPr>
          <w:rFonts w:ascii="Times New Roman" w:hAnsi="Times New Roman"/>
          <w:sz w:val="26"/>
          <w:szCs w:val="26"/>
          <w:lang w:val="uk-UA"/>
        </w:rPr>
        <w:t>нежитлових приміщень гуртожитк</w:t>
      </w:r>
      <w:r w:rsidR="00A07EC4">
        <w:rPr>
          <w:rFonts w:ascii="Times New Roman" w:hAnsi="Times New Roman"/>
          <w:sz w:val="26"/>
          <w:szCs w:val="26"/>
          <w:lang w:val="uk-UA"/>
        </w:rPr>
        <w:t>ів комунальної власності терито</w:t>
      </w:r>
      <w:r w:rsidR="00A07EC4" w:rsidRPr="00732D07">
        <w:rPr>
          <w:rFonts w:ascii="Times New Roman" w:hAnsi="Times New Roman"/>
          <w:sz w:val="26"/>
          <w:szCs w:val="26"/>
          <w:lang w:val="uk-UA"/>
        </w:rPr>
        <w:t>ріальної громади міста на території міста Дніпра (централізован</w:t>
      </w:r>
      <w:r w:rsidR="00A07EC4">
        <w:rPr>
          <w:rFonts w:ascii="Times New Roman" w:hAnsi="Times New Roman"/>
          <w:sz w:val="26"/>
          <w:szCs w:val="26"/>
          <w:lang w:val="uk-UA"/>
        </w:rPr>
        <w:t>ий прийом та видача документів);</w:t>
      </w:r>
      <w:r w:rsidR="00A07EC4" w:rsidRPr="00732D07">
        <w:rPr>
          <w:rFonts w:ascii="Times New Roman" w:hAnsi="Times New Roman"/>
          <w:sz w:val="26"/>
          <w:szCs w:val="26"/>
          <w:lang w:val="uk-UA"/>
        </w:rPr>
        <w:t xml:space="preserve"> </w:t>
      </w:r>
      <w:r w:rsidR="00A07EC4">
        <w:rPr>
          <w:rFonts w:ascii="Times New Roman" w:hAnsi="Times New Roman"/>
          <w:sz w:val="26"/>
          <w:szCs w:val="26"/>
          <w:lang w:val="uk-UA"/>
        </w:rPr>
        <w:t>зменшити</w:t>
      </w:r>
      <w:r w:rsidR="00A07EC4" w:rsidRPr="00732D07">
        <w:rPr>
          <w:rFonts w:ascii="Times New Roman" w:hAnsi="Times New Roman"/>
          <w:sz w:val="26"/>
          <w:szCs w:val="26"/>
          <w:lang w:val="uk-UA"/>
        </w:rPr>
        <w:t xml:space="preserve"> витрат</w:t>
      </w:r>
      <w:r w:rsidR="00A07EC4">
        <w:rPr>
          <w:rFonts w:ascii="Times New Roman" w:hAnsi="Times New Roman"/>
          <w:sz w:val="26"/>
          <w:szCs w:val="26"/>
          <w:lang w:val="uk-UA"/>
        </w:rPr>
        <w:t>и</w:t>
      </w:r>
      <w:r w:rsidR="00A07EC4" w:rsidRPr="00732D07">
        <w:rPr>
          <w:rFonts w:ascii="Times New Roman" w:hAnsi="Times New Roman"/>
          <w:sz w:val="26"/>
          <w:szCs w:val="26"/>
          <w:lang w:val="uk-UA"/>
        </w:rPr>
        <w:t xml:space="preserve"> часу </w:t>
      </w:r>
      <w:r w:rsidR="00A07EC4">
        <w:rPr>
          <w:rFonts w:ascii="Times New Roman" w:hAnsi="Times New Roman"/>
          <w:sz w:val="26"/>
          <w:szCs w:val="26"/>
          <w:lang w:val="uk-UA"/>
        </w:rPr>
        <w:t xml:space="preserve">громадян та суб’єктів господарювання </w:t>
      </w:r>
      <w:r w:rsidR="00A07EC4" w:rsidRPr="00732D07">
        <w:rPr>
          <w:rFonts w:ascii="Times New Roman" w:hAnsi="Times New Roman"/>
          <w:sz w:val="26"/>
          <w:szCs w:val="26"/>
          <w:lang w:val="uk-UA"/>
        </w:rPr>
        <w:t xml:space="preserve">на обстеження стану житлових/нежитлових будинків, житлових/нежитлових приміщень, квартир та житлових/нежитлових приміщень гуртожитків комунальної власності </w:t>
      </w:r>
      <w:proofErr w:type="spellStart"/>
      <w:r w:rsidR="00A07EC4" w:rsidRPr="00732D07">
        <w:rPr>
          <w:rFonts w:ascii="Times New Roman" w:hAnsi="Times New Roman"/>
          <w:sz w:val="26"/>
          <w:szCs w:val="26"/>
          <w:lang w:val="uk-UA"/>
        </w:rPr>
        <w:t>територіаль</w:t>
      </w:r>
      <w:r>
        <w:rPr>
          <w:rFonts w:ascii="Times New Roman" w:hAnsi="Times New Roman"/>
          <w:sz w:val="26"/>
          <w:szCs w:val="26"/>
          <w:lang w:val="uk-UA"/>
        </w:rPr>
        <w:t>-</w:t>
      </w:r>
      <w:r w:rsidR="00A07EC4" w:rsidRPr="00732D07">
        <w:rPr>
          <w:rFonts w:ascii="Times New Roman" w:hAnsi="Times New Roman"/>
          <w:sz w:val="26"/>
          <w:szCs w:val="26"/>
          <w:lang w:val="uk-UA"/>
        </w:rPr>
        <w:t>ної</w:t>
      </w:r>
      <w:proofErr w:type="spellEnd"/>
      <w:r w:rsidR="00A07EC4" w:rsidRPr="00732D07">
        <w:rPr>
          <w:rFonts w:ascii="Times New Roman" w:hAnsi="Times New Roman"/>
          <w:sz w:val="26"/>
          <w:szCs w:val="26"/>
          <w:lang w:val="uk-UA"/>
        </w:rPr>
        <w:t xml:space="preserve"> громади міста.</w:t>
      </w:r>
    </w:p>
    <w:p w:rsidR="00A07EC4" w:rsidRPr="004545BD" w:rsidRDefault="00A07EC4" w:rsidP="00BE2E4C">
      <w:pPr>
        <w:tabs>
          <w:tab w:val="left" w:pos="567"/>
          <w:tab w:val="left" w:pos="9355"/>
        </w:tabs>
        <w:spacing w:after="0" w:line="240" w:lineRule="auto"/>
        <w:jc w:val="both"/>
        <w:rPr>
          <w:rFonts w:ascii="Times New Roman" w:hAnsi="Times New Roman"/>
          <w:sz w:val="26"/>
          <w:szCs w:val="26"/>
          <w:lang w:val="uk-UA"/>
        </w:rPr>
      </w:pPr>
      <w:r w:rsidRPr="004545BD">
        <w:rPr>
          <w:rFonts w:ascii="Times New Roman" w:hAnsi="Times New Roman"/>
          <w:sz w:val="26"/>
          <w:szCs w:val="26"/>
          <w:lang w:val="uk-UA"/>
        </w:rPr>
        <w:t xml:space="preserve">     </w:t>
      </w:r>
      <w:r w:rsidR="00BE2E4C">
        <w:rPr>
          <w:rFonts w:ascii="Times New Roman" w:hAnsi="Times New Roman"/>
          <w:sz w:val="26"/>
          <w:szCs w:val="26"/>
          <w:lang w:val="uk-UA"/>
        </w:rPr>
        <w:t xml:space="preserve">    </w:t>
      </w:r>
      <w:r w:rsidRPr="004545BD">
        <w:rPr>
          <w:rFonts w:ascii="Times New Roman" w:hAnsi="Times New Roman"/>
          <w:sz w:val="26"/>
          <w:szCs w:val="26"/>
          <w:lang w:val="uk-UA"/>
        </w:rPr>
        <w:t xml:space="preserve">Періодичне відстеження результативності регуляторного </w:t>
      </w:r>
      <w:proofErr w:type="spellStart"/>
      <w:r w:rsidRPr="004545BD">
        <w:rPr>
          <w:rFonts w:ascii="Times New Roman" w:hAnsi="Times New Roman"/>
          <w:sz w:val="26"/>
          <w:szCs w:val="26"/>
          <w:lang w:val="uk-UA"/>
        </w:rPr>
        <w:t>акт</w:t>
      </w:r>
      <w:r>
        <w:rPr>
          <w:rFonts w:ascii="Times New Roman" w:hAnsi="Times New Roman"/>
          <w:sz w:val="26"/>
          <w:szCs w:val="26"/>
          <w:lang w:val="uk-UA"/>
        </w:rPr>
        <w:t>а</w:t>
      </w:r>
      <w:proofErr w:type="spellEnd"/>
      <w:r>
        <w:rPr>
          <w:rFonts w:ascii="Times New Roman" w:hAnsi="Times New Roman"/>
          <w:sz w:val="26"/>
          <w:szCs w:val="26"/>
          <w:lang w:val="uk-UA"/>
        </w:rPr>
        <w:t xml:space="preserve"> </w:t>
      </w:r>
      <w:r w:rsidRPr="004545BD">
        <w:rPr>
          <w:rFonts w:ascii="Times New Roman" w:hAnsi="Times New Roman"/>
          <w:sz w:val="26"/>
          <w:szCs w:val="26"/>
          <w:lang w:val="uk-UA"/>
        </w:rPr>
        <w:t>буде проведено у термін, визначений Законом України «Про засади державної регуляторної політики у сфері господарської діяльності».</w:t>
      </w:r>
    </w:p>
    <w:p w:rsidR="00A07EC4" w:rsidRPr="004545BD"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Pr="004545BD" w:rsidRDefault="00A07EC4" w:rsidP="00D66282">
      <w:pPr>
        <w:tabs>
          <w:tab w:val="left" w:pos="9355"/>
        </w:tabs>
        <w:spacing w:after="0" w:line="240" w:lineRule="auto"/>
        <w:jc w:val="both"/>
        <w:rPr>
          <w:rFonts w:ascii="Times New Roman" w:hAnsi="Times New Roman"/>
          <w:sz w:val="26"/>
          <w:szCs w:val="26"/>
          <w:lang w:val="uk-UA"/>
        </w:rPr>
      </w:pPr>
    </w:p>
    <w:p w:rsidR="00A07EC4" w:rsidRPr="004545BD" w:rsidRDefault="00A07EC4" w:rsidP="00D66282">
      <w:pPr>
        <w:tabs>
          <w:tab w:val="left" w:pos="9355"/>
        </w:tabs>
        <w:spacing w:after="0" w:line="240" w:lineRule="auto"/>
        <w:jc w:val="both"/>
        <w:rPr>
          <w:rFonts w:ascii="Times New Roman" w:hAnsi="Times New Roman"/>
          <w:sz w:val="26"/>
          <w:szCs w:val="26"/>
          <w:lang w:val="uk-UA"/>
        </w:rPr>
      </w:pPr>
      <w:r w:rsidRPr="004545BD">
        <w:rPr>
          <w:rFonts w:ascii="Times New Roman" w:hAnsi="Times New Roman"/>
          <w:sz w:val="26"/>
          <w:szCs w:val="26"/>
          <w:lang w:val="uk-UA"/>
        </w:rPr>
        <w:t xml:space="preserve">Міський голова                    </w:t>
      </w:r>
      <w:r>
        <w:rPr>
          <w:rFonts w:ascii="Times New Roman" w:hAnsi="Times New Roman"/>
          <w:sz w:val="26"/>
          <w:szCs w:val="26"/>
          <w:lang w:val="uk-UA"/>
        </w:rPr>
        <w:t xml:space="preserve">              </w:t>
      </w:r>
      <w:r w:rsidRPr="004545BD">
        <w:rPr>
          <w:rFonts w:ascii="Times New Roman" w:hAnsi="Times New Roman"/>
          <w:sz w:val="26"/>
          <w:szCs w:val="26"/>
          <w:lang w:val="uk-UA"/>
        </w:rPr>
        <w:t xml:space="preserve">                                                        Б. А. Філатов</w:t>
      </w: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Default="00A07EC4" w:rsidP="00D66282">
      <w:pPr>
        <w:tabs>
          <w:tab w:val="left" w:pos="9355"/>
        </w:tabs>
        <w:spacing w:after="0" w:line="240" w:lineRule="auto"/>
        <w:jc w:val="both"/>
        <w:rPr>
          <w:rFonts w:ascii="Times New Roman" w:hAnsi="Times New Roman"/>
          <w:sz w:val="26"/>
          <w:szCs w:val="26"/>
          <w:lang w:val="uk-UA"/>
        </w:rPr>
      </w:pPr>
    </w:p>
    <w:p w:rsidR="00A07EC4" w:rsidRPr="00D66282" w:rsidRDefault="00A07EC4" w:rsidP="00D66282">
      <w:pPr>
        <w:tabs>
          <w:tab w:val="left" w:pos="9355"/>
        </w:tabs>
        <w:spacing w:after="0" w:line="240" w:lineRule="auto"/>
        <w:jc w:val="both"/>
        <w:rPr>
          <w:rFonts w:ascii="Times New Roman" w:hAnsi="Times New Roman"/>
          <w:b/>
          <w:sz w:val="24"/>
          <w:szCs w:val="24"/>
          <w:lang w:val="uk-UA"/>
        </w:rPr>
      </w:pPr>
      <w:r w:rsidRPr="00D66282">
        <w:rPr>
          <w:rFonts w:ascii="Times New Roman" w:hAnsi="Times New Roman"/>
          <w:sz w:val="24"/>
          <w:szCs w:val="24"/>
          <w:lang w:val="uk-UA"/>
        </w:rPr>
        <w:t>Якуб Олена Анатоліївна 745 02 34</w:t>
      </w:r>
    </w:p>
    <w:sectPr w:rsidR="00A07EC4" w:rsidRPr="00D66282" w:rsidSect="00FE2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563"/>
    <w:multiLevelType w:val="hybridMultilevel"/>
    <w:tmpl w:val="8E04B19A"/>
    <w:lvl w:ilvl="0" w:tplc="EF40EC86">
      <w:start w:val="9"/>
      <w:numFmt w:val="bullet"/>
      <w:lvlText w:val="-"/>
      <w:lvlJc w:val="left"/>
      <w:pPr>
        <w:tabs>
          <w:tab w:val="num" w:pos="1090"/>
        </w:tabs>
        <w:ind w:left="1090" w:hanging="360"/>
      </w:pPr>
      <w:rPr>
        <w:rFonts w:ascii="Times New Roman" w:eastAsia="Times New Roman" w:hAnsi="Times New Roman" w:hint="default"/>
        <w:color w:val="auto"/>
      </w:rPr>
    </w:lvl>
    <w:lvl w:ilvl="1" w:tplc="04190003" w:tentative="1">
      <w:start w:val="1"/>
      <w:numFmt w:val="bullet"/>
      <w:lvlText w:val="o"/>
      <w:lvlJc w:val="left"/>
      <w:pPr>
        <w:tabs>
          <w:tab w:val="num" w:pos="1810"/>
        </w:tabs>
        <w:ind w:left="1810" w:hanging="360"/>
      </w:pPr>
      <w:rPr>
        <w:rFonts w:ascii="Courier New" w:hAnsi="Courier New" w:hint="default"/>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DF"/>
    <w:rsid w:val="000C4076"/>
    <w:rsid w:val="0011525F"/>
    <w:rsid w:val="00117D39"/>
    <w:rsid w:val="00124771"/>
    <w:rsid w:val="00127B7D"/>
    <w:rsid w:val="00190725"/>
    <w:rsid w:val="00194AF8"/>
    <w:rsid w:val="00197665"/>
    <w:rsid w:val="001D56FC"/>
    <w:rsid w:val="002069D0"/>
    <w:rsid w:val="002206BB"/>
    <w:rsid w:val="00290893"/>
    <w:rsid w:val="00292F14"/>
    <w:rsid w:val="002C4C76"/>
    <w:rsid w:val="003371D4"/>
    <w:rsid w:val="00366341"/>
    <w:rsid w:val="003714AC"/>
    <w:rsid w:val="003C73D2"/>
    <w:rsid w:val="003D330E"/>
    <w:rsid w:val="003E2EB8"/>
    <w:rsid w:val="00406CF2"/>
    <w:rsid w:val="004232C0"/>
    <w:rsid w:val="00432283"/>
    <w:rsid w:val="00433E29"/>
    <w:rsid w:val="004429BF"/>
    <w:rsid w:val="004545BD"/>
    <w:rsid w:val="00494D32"/>
    <w:rsid w:val="004A201D"/>
    <w:rsid w:val="004A726A"/>
    <w:rsid w:val="00507F3B"/>
    <w:rsid w:val="005161BE"/>
    <w:rsid w:val="00603D09"/>
    <w:rsid w:val="00605CDD"/>
    <w:rsid w:val="00624C90"/>
    <w:rsid w:val="00696FB4"/>
    <w:rsid w:val="006B5125"/>
    <w:rsid w:val="006E6F17"/>
    <w:rsid w:val="006F1732"/>
    <w:rsid w:val="00732D07"/>
    <w:rsid w:val="007830F5"/>
    <w:rsid w:val="007B0D93"/>
    <w:rsid w:val="007E7FD5"/>
    <w:rsid w:val="00820A01"/>
    <w:rsid w:val="00820B67"/>
    <w:rsid w:val="00827FE7"/>
    <w:rsid w:val="00863BDF"/>
    <w:rsid w:val="00892AFA"/>
    <w:rsid w:val="00911C64"/>
    <w:rsid w:val="009157D8"/>
    <w:rsid w:val="00955D24"/>
    <w:rsid w:val="00964CE1"/>
    <w:rsid w:val="009A101F"/>
    <w:rsid w:val="009C4D07"/>
    <w:rsid w:val="009E045F"/>
    <w:rsid w:val="009F0B54"/>
    <w:rsid w:val="00A03209"/>
    <w:rsid w:val="00A07EC4"/>
    <w:rsid w:val="00A5593B"/>
    <w:rsid w:val="00AE7907"/>
    <w:rsid w:val="00AF309F"/>
    <w:rsid w:val="00B1068A"/>
    <w:rsid w:val="00B36565"/>
    <w:rsid w:val="00B4127F"/>
    <w:rsid w:val="00B5586F"/>
    <w:rsid w:val="00B72004"/>
    <w:rsid w:val="00B76C64"/>
    <w:rsid w:val="00B93748"/>
    <w:rsid w:val="00BD35E6"/>
    <w:rsid w:val="00BE2E4C"/>
    <w:rsid w:val="00C00CEE"/>
    <w:rsid w:val="00C13AB1"/>
    <w:rsid w:val="00C20131"/>
    <w:rsid w:val="00C44C8C"/>
    <w:rsid w:val="00CB18D5"/>
    <w:rsid w:val="00CB5FD5"/>
    <w:rsid w:val="00D22986"/>
    <w:rsid w:val="00D307C8"/>
    <w:rsid w:val="00D3223A"/>
    <w:rsid w:val="00D40115"/>
    <w:rsid w:val="00D61DB2"/>
    <w:rsid w:val="00D66282"/>
    <w:rsid w:val="00DC5A16"/>
    <w:rsid w:val="00DF68C0"/>
    <w:rsid w:val="00E6794D"/>
    <w:rsid w:val="00E92DB1"/>
    <w:rsid w:val="00F27711"/>
    <w:rsid w:val="00F32819"/>
    <w:rsid w:val="00F73802"/>
    <w:rsid w:val="00F810A8"/>
    <w:rsid w:val="00F8559C"/>
    <w:rsid w:val="00FD28B8"/>
    <w:rsid w:val="00FD29A6"/>
    <w:rsid w:val="00FD372E"/>
    <w:rsid w:val="00FD6FD7"/>
    <w:rsid w:val="00FE26E7"/>
    <w:rsid w:val="00FE4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4806B"/>
  <w15:docId w15:val="{717C64F0-1EEB-4761-A0EB-B05CFFBE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E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7FE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99"/>
    <w:qFormat/>
    <w:rsid w:val="00827FE7"/>
    <w:rPr>
      <w:lang w:eastAsia="en-US"/>
    </w:rPr>
  </w:style>
  <w:style w:type="paragraph" w:styleId="a5">
    <w:name w:val="Normal (Web)"/>
    <w:basedOn w:val="a"/>
    <w:uiPriority w:val="99"/>
    <w:rsid w:val="00117D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a0"/>
    <w:uiPriority w:val="99"/>
    <w:rsid w:val="00433E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2692</Words>
  <Characters>1535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Звіт</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subject/>
  <dc:creator>user</dc:creator>
  <cp:keywords/>
  <dc:description/>
  <cp:lastModifiedBy>Ольга Володимирівна Мороз</cp:lastModifiedBy>
  <cp:revision>3</cp:revision>
  <cp:lastPrinted>2018-11-09T08:49:00Z</cp:lastPrinted>
  <dcterms:created xsi:type="dcterms:W3CDTF">2019-03-18T12:09:00Z</dcterms:created>
  <dcterms:modified xsi:type="dcterms:W3CDTF">2019-03-18T12:13:00Z</dcterms:modified>
</cp:coreProperties>
</file>