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2E" w:rsidRPr="00813178" w:rsidRDefault="0076522E" w:rsidP="0076522E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ru-RU"/>
        </w:rPr>
      </w:pP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 xml:space="preserve">Додаток № </w:t>
      </w:r>
      <w:r>
        <w:rPr>
          <w:bCs/>
          <w:bdr w:val="none" w:sz="0" w:space="0" w:color="auto" w:frame="1"/>
        </w:rPr>
        <w:t>1</w:t>
      </w:r>
    </w:p>
    <w:p w:rsidR="0076522E" w:rsidRPr="00813178" w:rsidRDefault="0076522E" w:rsidP="0076522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ab/>
      </w:r>
      <w:r w:rsidRPr="00813178">
        <w:rPr>
          <w:bCs/>
          <w:bdr w:val="none" w:sz="0" w:space="0" w:color="auto" w:frame="1"/>
        </w:rPr>
        <w:t>до аналізу регуляторного впливу</w:t>
      </w:r>
    </w:p>
    <w:p w:rsidR="0076522E" w:rsidRPr="0005725F" w:rsidRDefault="0076522E" w:rsidP="0076522E">
      <w:pPr>
        <w:shd w:val="clear" w:color="auto" w:fill="FFFFFF"/>
        <w:jc w:val="both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76522E" w:rsidRPr="00813178" w:rsidRDefault="0076522E" w:rsidP="0076522E">
      <w:pPr>
        <w:shd w:val="clear" w:color="auto" w:fill="FFFFFF"/>
        <w:jc w:val="center"/>
        <w:textAlignment w:val="baseline"/>
      </w:pPr>
      <w:r w:rsidRPr="00813178">
        <w:t>ТЕСТ малого підприємництва (М-Тест)</w:t>
      </w:r>
    </w:p>
    <w:p w:rsidR="0076522E" w:rsidRPr="0005725F" w:rsidRDefault="0076522E" w:rsidP="0076522E">
      <w:pPr>
        <w:shd w:val="clear" w:color="auto" w:fill="FFFFFF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76522E" w:rsidRPr="00813178" w:rsidRDefault="0076522E" w:rsidP="0076522E">
      <w:pPr>
        <w:ind w:firstLine="708"/>
        <w:jc w:val="both"/>
      </w:pPr>
      <w:r w:rsidRPr="00813178">
        <w:t>1. Консультації з представниками мікро- та малого підприємництва щодо оцінки впливу регулювання</w:t>
      </w:r>
    </w:p>
    <w:p w:rsidR="0076522E" w:rsidRPr="00813178" w:rsidRDefault="0076522E" w:rsidP="0076522E">
      <w:pPr>
        <w:ind w:firstLine="708"/>
        <w:jc w:val="both"/>
        <w:rPr>
          <w:b/>
          <w:i/>
        </w:rPr>
      </w:pPr>
    </w:p>
    <w:p w:rsidR="0076522E" w:rsidRDefault="0076522E" w:rsidP="0076522E">
      <w:pPr>
        <w:ind w:firstLine="708"/>
        <w:jc w:val="both"/>
      </w:pPr>
      <w:r w:rsidRPr="00813178"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проведені з </w:t>
      </w:r>
      <w:r w:rsidRPr="00813178">
        <w:rPr>
          <w:bCs/>
          <w:bdr w:val="none" w:sz="0" w:space="0" w:color="auto" w:frame="1"/>
        </w:rPr>
        <w:t xml:space="preserve">тимчасовою робочою групою з питань розробки </w:t>
      </w:r>
      <w:r w:rsidRPr="00813178">
        <w:t xml:space="preserve">Положення </w:t>
      </w:r>
      <w:r w:rsidRPr="00813178">
        <w:rPr>
          <w:rFonts w:eastAsia="Calibri"/>
        </w:rPr>
        <w:t>про порядок обстеження стану житлових/нежитлових  будинків, житлових/нежитлових  приміщень, квартир</w:t>
      </w:r>
      <w:r w:rsidRPr="00813178">
        <w:t xml:space="preserve"> та житлових/нежитлових  приміщень гуртожитків комунальної власності територіальної громади міста Дніпра та окремими суб’єктами малого бізнесу за період з </w:t>
      </w:r>
      <w:r w:rsidRPr="00813178">
        <w:rPr>
          <w:color w:val="000000"/>
        </w:rPr>
        <w:t xml:space="preserve"> 01.11.2017 по 3</w:t>
      </w:r>
      <w:r>
        <w:rPr>
          <w:color w:val="000000"/>
        </w:rPr>
        <w:t>0</w:t>
      </w:r>
      <w:r w:rsidRPr="00813178">
        <w:rPr>
          <w:color w:val="000000"/>
        </w:rPr>
        <w:t xml:space="preserve">.11.2017 </w:t>
      </w:r>
      <w:r w:rsidRPr="00813178">
        <w:t xml:space="preserve"> й відображені в таблиці: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103"/>
        <w:gridCol w:w="1996"/>
        <w:gridCol w:w="4749"/>
      </w:tblGrid>
      <w:tr w:rsidR="0076522E" w:rsidRPr="00813178" w:rsidTr="000922DD">
        <w:tc>
          <w:tcPr>
            <w:tcW w:w="266" w:type="pct"/>
            <w:vAlign w:val="center"/>
          </w:tcPr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rPr>
                <w:b/>
                <w:i/>
              </w:rPr>
              <w:t>№</w:t>
            </w:r>
          </w:p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rPr>
                <w:b/>
                <w:i/>
              </w:rPr>
              <w:t>з/п</w:t>
            </w:r>
          </w:p>
        </w:tc>
        <w:tc>
          <w:tcPr>
            <w:tcW w:w="1125" w:type="pct"/>
            <w:vAlign w:val="center"/>
          </w:tcPr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rPr>
                <w:b/>
                <w:i/>
              </w:rPr>
              <w:t>Вид консультації</w:t>
            </w:r>
          </w:p>
        </w:tc>
        <w:tc>
          <w:tcPr>
            <w:tcW w:w="1068" w:type="pct"/>
            <w:vAlign w:val="center"/>
          </w:tcPr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rPr>
                <w:b/>
                <w:i/>
              </w:rPr>
              <w:t>Кількість учасників консультацій, осіб</w:t>
            </w:r>
          </w:p>
        </w:tc>
        <w:tc>
          <w:tcPr>
            <w:tcW w:w="2541" w:type="pct"/>
            <w:vAlign w:val="center"/>
          </w:tcPr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rPr>
                <w:b/>
                <w:i/>
              </w:rPr>
              <w:t>Основні результати консультацій (опис)</w:t>
            </w:r>
          </w:p>
        </w:tc>
      </w:tr>
      <w:tr w:rsidR="0076522E" w:rsidRPr="00813178" w:rsidTr="000922DD">
        <w:trPr>
          <w:trHeight w:val="346"/>
        </w:trPr>
        <w:tc>
          <w:tcPr>
            <w:tcW w:w="266" w:type="pct"/>
          </w:tcPr>
          <w:p w:rsidR="0076522E" w:rsidRPr="00813178" w:rsidRDefault="0076522E" w:rsidP="000922DD">
            <w:pPr>
              <w:jc w:val="center"/>
              <w:rPr>
                <w:b/>
                <w:i/>
              </w:rPr>
            </w:pPr>
            <w:r w:rsidRPr="00813178">
              <w:t>1</w:t>
            </w:r>
          </w:p>
        </w:tc>
        <w:tc>
          <w:tcPr>
            <w:tcW w:w="1125" w:type="pct"/>
          </w:tcPr>
          <w:p w:rsidR="0076522E" w:rsidRPr="00813178" w:rsidRDefault="0076522E" w:rsidP="000922DD">
            <w:r w:rsidRPr="00813178">
              <w:t>Тимчасова робоча група з питань розробки Положення про порядок обстеження стану житлових/нежитлових  будинків, житлових/нежитлових  приміщень, квартир та житлових/нежитлових  приміщень гуртожитків комунальної власності територіальної громади міста</w:t>
            </w:r>
          </w:p>
        </w:tc>
        <w:tc>
          <w:tcPr>
            <w:tcW w:w="1068" w:type="pct"/>
          </w:tcPr>
          <w:p w:rsidR="0076522E" w:rsidRPr="00180564" w:rsidRDefault="0076522E" w:rsidP="000922DD">
            <w:pPr>
              <w:jc w:val="center"/>
            </w:pPr>
            <w:r w:rsidRPr="00180564">
              <w:t>3:</w:t>
            </w:r>
          </w:p>
          <w:p w:rsidR="0076522E" w:rsidRDefault="0076522E" w:rsidP="000922DD">
            <w:r>
              <w:t xml:space="preserve">1. </w:t>
            </w:r>
            <w:r w:rsidRPr="00813178">
              <w:t>Заступник директора департаменту по роботі з активами міської ради -</w:t>
            </w:r>
            <w:r>
              <w:t xml:space="preserve"> </w:t>
            </w:r>
            <w:r w:rsidRPr="00813178">
              <w:t>начальник управління з питань</w:t>
            </w:r>
            <w:r>
              <w:t xml:space="preserve"> </w:t>
            </w:r>
            <w:r w:rsidRPr="00813178">
              <w:t>комунальної  власності</w:t>
            </w:r>
            <w:r>
              <w:t xml:space="preserve"> – </w:t>
            </w:r>
            <w:proofErr w:type="spellStart"/>
            <w:r>
              <w:t>А.М.Турчак</w:t>
            </w:r>
            <w:proofErr w:type="spellEnd"/>
            <w:r>
              <w:t>;</w:t>
            </w:r>
          </w:p>
          <w:p w:rsidR="0076522E" w:rsidRDefault="0076522E" w:rsidP="000922DD">
            <w:r>
              <w:t xml:space="preserve">2. </w:t>
            </w:r>
            <w:r w:rsidRPr="004404BE">
              <w:t>Начальник відділу корпоративного управління та обліку комунального майна управління з питань комунальної власності</w:t>
            </w:r>
            <w:r>
              <w:t xml:space="preserve"> - </w:t>
            </w:r>
            <w:r w:rsidRPr="0005725F">
              <w:t>О. В. Чуприна</w:t>
            </w:r>
            <w:r>
              <w:t>;</w:t>
            </w:r>
          </w:p>
          <w:p w:rsidR="0076522E" w:rsidRPr="00180564" w:rsidRDefault="0076522E" w:rsidP="000922DD">
            <w:r>
              <w:t>3. Головний спеціаліст</w:t>
            </w:r>
            <w:r w:rsidRPr="004404BE">
              <w:t xml:space="preserve"> відділу корпоративного управління та обліку комунального майна управління з питань комунальної </w:t>
            </w:r>
            <w:r w:rsidRPr="004404BE">
              <w:lastRenderedPageBreak/>
              <w:t>власності</w:t>
            </w:r>
            <w:r>
              <w:t xml:space="preserve"> – О.М. </w:t>
            </w:r>
            <w:proofErr w:type="spellStart"/>
            <w:r>
              <w:t>Нетбайло</w:t>
            </w:r>
            <w:proofErr w:type="spellEnd"/>
          </w:p>
        </w:tc>
        <w:tc>
          <w:tcPr>
            <w:tcW w:w="2541" w:type="pct"/>
          </w:tcPr>
          <w:p w:rsidR="0076522E" w:rsidRPr="00813178" w:rsidRDefault="0076522E" w:rsidP="000922DD">
            <w:pPr>
              <w:jc w:val="both"/>
            </w:pPr>
            <w:r w:rsidRPr="00813178">
              <w:lastRenderedPageBreak/>
              <w:t>Надано:</w:t>
            </w:r>
          </w:p>
          <w:p w:rsidR="0076522E" w:rsidRPr="00813178" w:rsidRDefault="0076522E" w:rsidP="000922DD">
            <w:pPr>
              <w:jc w:val="both"/>
              <w:rPr>
                <w:spacing w:val="-2"/>
              </w:rPr>
            </w:pPr>
            <w:r w:rsidRPr="00813178">
              <w:t xml:space="preserve"> пропозиції щодо розробки проекту </w:t>
            </w:r>
            <w:r w:rsidRPr="00813178">
              <w:rPr>
                <w:spacing w:val="-2"/>
              </w:rPr>
              <w:t xml:space="preserve">регуляторного </w:t>
            </w:r>
            <w:proofErr w:type="spellStart"/>
            <w:r w:rsidRPr="00813178">
              <w:rPr>
                <w:spacing w:val="-2"/>
              </w:rPr>
              <w:t>акта</w:t>
            </w:r>
            <w:proofErr w:type="spellEnd"/>
            <w:r w:rsidRPr="00813178">
              <w:rPr>
                <w:spacing w:val="-2"/>
              </w:rPr>
              <w:t xml:space="preserve"> – рішення  міської ради </w:t>
            </w:r>
            <w:r w:rsidRPr="00813178">
              <w:rPr>
                <w:bCs/>
                <w:iCs/>
                <w:shd w:val="clear" w:color="auto" w:fill="FFFFFF"/>
              </w:rPr>
              <w:t>«</w:t>
            </w:r>
            <w:r w:rsidRPr="00813178">
              <w:t xml:space="preserve">Про затвердження Положення </w:t>
            </w:r>
            <w:r w:rsidRPr="00813178">
              <w:rPr>
                <w:spacing w:val="-2"/>
              </w:rPr>
              <w:t>про порядок обстеження стану житлових/нежитлових  будинків, житлових/нежитлових  приміщень, квартир та житлових/нежитлових  приміщень гуртожитків комунальної власності територіальної громади міста», аналізу його регуляторного впливу та базового відстеження;</w:t>
            </w:r>
            <w:r>
              <w:rPr>
                <w:spacing w:val="-2"/>
              </w:rPr>
              <w:t xml:space="preserve"> ( Протокол №1 від 01.11.2017р.)</w:t>
            </w:r>
          </w:p>
          <w:p w:rsidR="0076522E" w:rsidRPr="00813178" w:rsidRDefault="0076522E" w:rsidP="000922DD">
            <w:pPr>
              <w:jc w:val="both"/>
              <w:rPr>
                <w:b/>
                <w:i/>
                <w:color w:val="FF0000"/>
              </w:rPr>
            </w:pPr>
            <w:r>
              <w:rPr>
                <w:spacing w:val="-2"/>
              </w:rPr>
              <w:t xml:space="preserve"> Аналіз регуляторного впливу виконано у</w:t>
            </w:r>
            <w:r w:rsidRPr="00813178">
              <w:rPr>
                <w:spacing w:val="-2"/>
              </w:rPr>
              <w:t xml:space="preserve"> відповідності </w:t>
            </w:r>
            <w:r>
              <w:rPr>
                <w:spacing w:val="-2"/>
              </w:rPr>
              <w:t>до</w:t>
            </w:r>
            <w:r w:rsidRPr="00813178">
              <w:rPr>
                <w:spacing w:val="-2"/>
              </w:rPr>
              <w:t xml:space="preserve"> вимог Постанови Кабінету Міністрів України від 11.03.2004 року №308 «Про затвердження </w:t>
            </w:r>
            <w:proofErr w:type="spellStart"/>
            <w:r w:rsidRPr="00813178">
              <w:rPr>
                <w:spacing w:val="-2"/>
              </w:rPr>
              <w:t>методик</w:t>
            </w:r>
            <w:proofErr w:type="spellEnd"/>
            <w:r w:rsidRPr="00813178">
              <w:rPr>
                <w:spacing w:val="-2"/>
              </w:rPr>
              <w:t xml:space="preserve"> проведення аналізу впливу та відстеження результативності регуляторного </w:t>
            </w:r>
            <w:proofErr w:type="spellStart"/>
            <w:r w:rsidRPr="00813178">
              <w:rPr>
                <w:spacing w:val="-2"/>
              </w:rPr>
              <w:t>акта</w:t>
            </w:r>
            <w:proofErr w:type="spellEnd"/>
            <w:r w:rsidRPr="00813178">
              <w:rPr>
                <w:spacing w:val="-2"/>
              </w:rPr>
              <w:t xml:space="preserve">»; </w:t>
            </w:r>
          </w:p>
        </w:tc>
      </w:tr>
      <w:tr w:rsidR="0076522E" w:rsidRPr="00813178" w:rsidTr="000922DD">
        <w:tc>
          <w:tcPr>
            <w:tcW w:w="266" w:type="pct"/>
          </w:tcPr>
          <w:p w:rsidR="0076522E" w:rsidRPr="00813178" w:rsidRDefault="0076522E" w:rsidP="000922DD">
            <w:pPr>
              <w:jc w:val="center"/>
              <w:rPr>
                <w:highlight w:val="red"/>
              </w:rPr>
            </w:pPr>
            <w:r w:rsidRPr="00813178">
              <w:lastRenderedPageBreak/>
              <w:t>2</w:t>
            </w:r>
          </w:p>
        </w:tc>
        <w:tc>
          <w:tcPr>
            <w:tcW w:w="1125" w:type="pct"/>
          </w:tcPr>
          <w:p w:rsidR="0076522E" w:rsidRPr="00813178" w:rsidRDefault="0076522E" w:rsidP="000922DD">
            <w:pPr>
              <w:rPr>
                <w:lang w:val="ru-RU"/>
              </w:rPr>
            </w:pPr>
            <w:r w:rsidRPr="00813178">
              <w:t>Особиста зустріч з представниками малого бізнесу</w:t>
            </w:r>
            <w:r>
              <w:t xml:space="preserve"> і громадянами </w:t>
            </w:r>
            <w:proofErr w:type="spellStart"/>
            <w:r>
              <w:t>м.Дніпра</w:t>
            </w:r>
            <w:proofErr w:type="spellEnd"/>
          </w:p>
          <w:p w:rsidR="0076522E" w:rsidRPr="00813178" w:rsidRDefault="0076522E" w:rsidP="000922DD"/>
        </w:tc>
        <w:tc>
          <w:tcPr>
            <w:tcW w:w="1068" w:type="pct"/>
          </w:tcPr>
          <w:p w:rsidR="0076522E" w:rsidRPr="00180564" w:rsidRDefault="0076522E" w:rsidP="000922DD">
            <w:r>
              <w:t>3</w:t>
            </w:r>
            <w:r w:rsidRPr="00180564">
              <w:t xml:space="preserve"> представника органів місцевого</w:t>
            </w:r>
            <w:r>
              <w:t xml:space="preserve"> </w:t>
            </w:r>
            <w:r w:rsidRPr="00180564">
              <w:t>самоврядування:</w:t>
            </w:r>
          </w:p>
          <w:p w:rsidR="0076522E" w:rsidRPr="00180564" w:rsidRDefault="0076522E" w:rsidP="000922DD">
            <w:r w:rsidRPr="00180564">
              <w:t>1. Заступник директора департаменту по роботі з активами міської ради - начальник управління з питань комунальної  власності</w:t>
            </w:r>
            <w:r>
              <w:t xml:space="preserve"> - </w:t>
            </w:r>
            <w:proofErr w:type="spellStart"/>
            <w:r>
              <w:t>А.М.Турчак</w:t>
            </w:r>
            <w:proofErr w:type="spellEnd"/>
            <w:r w:rsidRPr="00180564">
              <w:t>;</w:t>
            </w:r>
          </w:p>
          <w:p w:rsidR="0076522E" w:rsidRDefault="0076522E" w:rsidP="000922DD">
            <w:r w:rsidRPr="00180564">
              <w:t>2. Начальник відділу корпоративного управління та обліку комунального майна управління з питань комунальної власності</w:t>
            </w:r>
            <w:r>
              <w:t xml:space="preserve"> - </w:t>
            </w:r>
            <w:r w:rsidRPr="0005725F">
              <w:t>О. В. Чуприна</w:t>
            </w:r>
            <w:r w:rsidRPr="00180564">
              <w:t>;</w:t>
            </w:r>
          </w:p>
          <w:p w:rsidR="0076522E" w:rsidRDefault="0076522E" w:rsidP="000922DD">
            <w:r>
              <w:t>3. Головний спеціаліст</w:t>
            </w:r>
            <w:r w:rsidRPr="004404BE">
              <w:t xml:space="preserve"> відділу корпоративного управління та обліку комунального майна управління з питань комунальної власності</w:t>
            </w:r>
            <w:r>
              <w:t xml:space="preserve"> – О.М. </w:t>
            </w:r>
            <w:proofErr w:type="spellStart"/>
            <w:r>
              <w:t>Нетбайло</w:t>
            </w:r>
            <w:proofErr w:type="spellEnd"/>
            <w:r>
              <w:t>;</w:t>
            </w:r>
          </w:p>
          <w:p w:rsidR="0076522E" w:rsidRPr="00813178" w:rsidRDefault="0076522E" w:rsidP="000922DD">
            <w:pPr>
              <w:rPr>
                <w:lang w:val="ru-RU"/>
              </w:rPr>
            </w:pPr>
            <w:r>
              <w:t xml:space="preserve">5 осіб від </w:t>
            </w:r>
            <w:r w:rsidRPr="00813178">
              <w:t>представник</w:t>
            </w:r>
            <w:r>
              <w:t>ів</w:t>
            </w:r>
            <w:r w:rsidRPr="00813178">
              <w:t xml:space="preserve"> малого бізнесу</w:t>
            </w:r>
            <w:r>
              <w:t xml:space="preserve"> і громадян </w:t>
            </w:r>
            <w:proofErr w:type="spellStart"/>
            <w:r>
              <w:t>м.Дніпра</w:t>
            </w:r>
            <w:proofErr w:type="spellEnd"/>
          </w:p>
          <w:p w:rsidR="0076522E" w:rsidRPr="00083E19" w:rsidRDefault="0076522E" w:rsidP="000922DD">
            <w:r w:rsidRPr="00083E19">
              <w:t>КП «Жилсервіс-5»</w:t>
            </w:r>
            <w:r>
              <w:t xml:space="preserve"> Гаврик Я.Г.;</w:t>
            </w:r>
          </w:p>
          <w:p w:rsidR="0076522E" w:rsidRDefault="0076522E" w:rsidP="000922DD">
            <w:r w:rsidRPr="00083E19">
              <w:t>КП «</w:t>
            </w:r>
            <w:r>
              <w:t>БЮРО</w:t>
            </w:r>
            <w:r w:rsidRPr="00083E19">
              <w:t>» ДМР</w:t>
            </w:r>
            <w:r>
              <w:t xml:space="preserve"> Якуб О.А.</w:t>
            </w:r>
            <w:r w:rsidRPr="00083E19">
              <w:t>;</w:t>
            </w:r>
          </w:p>
          <w:p w:rsidR="0076522E" w:rsidRPr="00083E19" w:rsidRDefault="0076522E" w:rsidP="000922DD">
            <w:r>
              <w:t>ФОП</w:t>
            </w:r>
            <w:r w:rsidRPr="00083E19">
              <w:t xml:space="preserve"> </w:t>
            </w:r>
            <w:proofErr w:type="spellStart"/>
            <w:r w:rsidRPr="00083E19">
              <w:t>Шмаков</w:t>
            </w:r>
            <w:proofErr w:type="spellEnd"/>
            <w:r w:rsidRPr="00083E19">
              <w:t xml:space="preserve"> І.В.</w:t>
            </w:r>
            <w:r>
              <w:t>;</w:t>
            </w:r>
          </w:p>
          <w:p w:rsidR="0076522E" w:rsidRPr="00813178" w:rsidRDefault="0076522E" w:rsidP="000922DD">
            <w:r w:rsidRPr="00083E19">
              <w:lastRenderedPageBreak/>
              <w:t xml:space="preserve">гр. </w:t>
            </w:r>
            <w:proofErr w:type="spellStart"/>
            <w:r w:rsidRPr="00083E19">
              <w:t>Горбенко</w:t>
            </w:r>
            <w:proofErr w:type="spellEnd"/>
            <w:r w:rsidRPr="00083E19">
              <w:t xml:space="preserve"> С.М.;</w:t>
            </w:r>
          </w:p>
          <w:p w:rsidR="0076522E" w:rsidRPr="00180564" w:rsidRDefault="0076522E" w:rsidP="000922DD">
            <w:pPr>
              <w:rPr>
                <w:color w:val="FF0000"/>
              </w:rPr>
            </w:pPr>
            <w:r>
              <w:t>гр. Шкода О.</w:t>
            </w:r>
          </w:p>
        </w:tc>
        <w:tc>
          <w:tcPr>
            <w:tcW w:w="2541" w:type="pct"/>
          </w:tcPr>
          <w:p w:rsidR="0076522E" w:rsidRDefault="0076522E" w:rsidP="000922DD">
            <w:pPr>
              <w:jc w:val="both"/>
            </w:pPr>
            <w:r>
              <w:lastRenderedPageBreak/>
              <w:t>Д</w:t>
            </w:r>
            <w:r w:rsidRPr="00813178">
              <w:t xml:space="preserve">иректор департаменту по роботі з активами Дніпровської міської ради </w:t>
            </w:r>
            <w:r>
              <w:t xml:space="preserve">погодився з пропозиціями </w:t>
            </w:r>
            <w:r w:rsidRPr="00813178">
              <w:t>щодо</w:t>
            </w:r>
            <w:r>
              <w:t>:</w:t>
            </w:r>
            <w:r w:rsidRPr="00813178">
              <w:t xml:space="preserve"> </w:t>
            </w:r>
          </w:p>
          <w:p w:rsidR="0076522E" w:rsidRPr="00813178" w:rsidRDefault="0076522E" w:rsidP="000922DD">
            <w:pPr>
              <w:jc w:val="both"/>
            </w:pPr>
            <w:r>
              <w:t xml:space="preserve">- </w:t>
            </w:r>
            <w:r w:rsidRPr="00813178">
              <w:t>необхідності затвердження Положення про порядок обстеження стану житлових/нежитлових  будинків, житлових/нежитлових  приміщень, квартир та житлових/нежитлових  приміщень гуртожитків комунальної власності територіальної громади міста;</w:t>
            </w:r>
          </w:p>
          <w:p w:rsidR="0076522E" w:rsidRPr="00813178" w:rsidRDefault="0076522E" w:rsidP="000922DD">
            <w:pPr>
              <w:jc w:val="both"/>
            </w:pPr>
            <w:r w:rsidRPr="00813178">
              <w:t xml:space="preserve">- порядку  і термінів отримання </w:t>
            </w:r>
            <w:proofErr w:type="spellStart"/>
            <w:r w:rsidRPr="00813178">
              <w:t>акта</w:t>
            </w:r>
            <w:proofErr w:type="spellEnd"/>
            <w:r w:rsidRPr="00813178">
              <w:t xml:space="preserve"> обстеження стану житлових/нежитлових  будинків, житлових/нежитлових  приміщень, квартир та житлових/нежитлових  приміщень гуртожитків комунальної власності територіальної громади міста;</w:t>
            </w:r>
          </w:p>
          <w:p w:rsidR="0076522E" w:rsidRPr="00813178" w:rsidRDefault="0076522E" w:rsidP="000922DD">
            <w:pPr>
              <w:jc w:val="both"/>
            </w:pPr>
            <w:r w:rsidRPr="00813178">
              <w:t xml:space="preserve">- витрат (грошових та часових)  суб’єктів малого підприємництва на виконання вимог регулювання; </w:t>
            </w:r>
          </w:p>
          <w:p w:rsidR="0076522E" w:rsidRPr="00813178" w:rsidRDefault="0076522E" w:rsidP="000922DD">
            <w:pPr>
              <w:jc w:val="both"/>
            </w:pPr>
            <w:r w:rsidRPr="00813178">
              <w:t>- вимог до акту обстеження стану житлових/нежитлових  будинків, житлових/нежитлових  приміщень, квартир та житлових/нежитлових  приміщень гуртожитків комунальної власності територіальної громади міста щодо відповідності/невідповідності санітарним та технічним нормам та  їх придатності чи непридатності для проживання</w:t>
            </w:r>
            <w:r>
              <w:t xml:space="preserve"> (Протокол №2 від 14.11.2017р.)</w:t>
            </w:r>
          </w:p>
        </w:tc>
      </w:tr>
    </w:tbl>
    <w:p w:rsidR="0076522E" w:rsidRPr="00813178" w:rsidRDefault="0076522E" w:rsidP="0076522E">
      <w:pPr>
        <w:ind w:firstLine="708"/>
        <w:jc w:val="both"/>
        <w:rPr>
          <w:b/>
          <w:i/>
        </w:rPr>
      </w:pPr>
    </w:p>
    <w:p w:rsidR="0076522E" w:rsidRDefault="0076522E" w:rsidP="0076522E">
      <w:pPr>
        <w:ind w:firstLine="708"/>
        <w:jc w:val="both"/>
      </w:pPr>
      <w:r w:rsidRPr="00813178">
        <w:t>2. Вимірювання впливу регулювання на суб’єктів малого підприємництва (мікро- та малі)</w:t>
      </w:r>
    </w:p>
    <w:p w:rsidR="0076522E" w:rsidRPr="00813178" w:rsidRDefault="0076522E" w:rsidP="0076522E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0" w:name="n136"/>
      <w:bookmarkEnd w:id="0"/>
      <w:r w:rsidRPr="00813178">
        <w:rPr>
          <w:lang w:val="uk-UA"/>
        </w:rPr>
        <w:t xml:space="preserve">- кількість суб’єктів малого підприємництва, на яких поширюється регулювання: 18 (одиниць), у тому числі малого підприємництва  13 (одиниць) та </w:t>
      </w:r>
      <w:proofErr w:type="spellStart"/>
      <w:r w:rsidRPr="00813178">
        <w:rPr>
          <w:lang w:val="uk-UA"/>
        </w:rPr>
        <w:t>мікропідприємництва</w:t>
      </w:r>
      <w:proofErr w:type="spellEnd"/>
      <w:r w:rsidRPr="00813178">
        <w:rPr>
          <w:lang w:val="uk-UA"/>
        </w:rPr>
        <w:t xml:space="preserve"> 5 (одиниць);</w:t>
      </w:r>
    </w:p>
    <w:p w:rsidR="0076522E" w:rsidRPr="00813178" w:rsidRDefault="0076522E" w:rsidP="0076522E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1" w:name="n137"/>
      <w:bookmarkEnd w:id="1"/>
      <w:r w:rsidRPr="00813178">
        <w:rPr>
          <w:lang w:val="uk-UA"/>
        </w:rPr>
        <w:t xml:space="preserve">- питома вага суб’єктів малого підприємництва у загальній кількості суб’єктів господарювання, на яких проблема справляє вплив 72,2% (відсотків) (відповідно до таблиці “ Оцінка впливу на сферу інтересів суб’єктів господарювання ” додатка 1 до Методики проведення аналізу впливу регуляторного </w:t>
      </w:r>
      <w:proofErr w:type="spellStart"/>
      <w:r w:rsidRPr="00813178">
        <w:rPr>
          <w:lang w:val="uk-UA"/>
        </w:rPr>
        <w:t>акта</w:t>
      </w:r>
      <w:proofErr w:type="spellEnd"/>
      <w:r w:rsidRPr="00813178">
        <w:rPr>
          <w:lang w:val="uk-UA"/>
        </w:rPr>
        <w:t>).</w:t>
      </w:r>
    </w:p>
    <w:p w:rsidR="0076522E" w:rsidRPr="00813178" w:rsidRDefault="0076522E" w:rsidP="0076522E">
      <w:pPr>
        <w:pStyle w:val="rvps2"/>
        <w:spacing w:before="0" w:beforeAutospacing="0" w:after="0" w:afterAutospacing="0"/>
        <w:rPr>
          <w:lang w:val="uk-UA"/>
        </w:rPr>
      </w:pPr>
      <w:bookmarkStart w:id="2" w:name="n138"/>
      <w:bookmarkEnd w:id="2"/>
    </w:p>
    <w:p w:rsidR="0076522E" w:rsidRPr="00813178" w:rsidRDefault="0076522E" w:rsidP="0076522E">
      <w:pPr>
        <w:pStyle w:val="rvps2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813178">
        <w:rPr>
          <w:lang w:val="uk-UA"/>
        </w:rPr>
        <w:t>Розрахунок витрат суб’єктів малого підприємництва на виконання вимог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9"/>
        <w:gridCol w:w="55"/>
        <w:gridCol w:w="3679"/>
        <w:gridCol w:w="66"/>
        <w:gridCol w:w="1515"/>
        <w:gridCol w:w="77"/>
        <w:gridCol w:w="1222"/>
        <w:gridCol w:w="11"/>
        <w:gridCol w:w="1491"/>
      </w:tblGrid>
      <w:tr w:rsidR="0076522E" w:rsidRPr="00813178" w:rsidTr="000922DD">
        <w:trPr>
          <w:trHeight w:val="15"/>
        </w:trPr>
        <w:tc>
          <w:tcPr>
            <w:tcW w:w="684" w:type="pct"/>
            <w:gridSpan w:val="2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Порядковий номер</w:t>
            </w:r>
          </w:p>
        </w:tc>
        <w:tc>
          <w:tcPr>
            <w:tcW w:w="2005" w:type="pct"/>
            <w:gridSpan w:val="2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Найменування оцінки</w:t>
            </w:r>
          </w:p>
        </w:tc>
        <w:tc>
          <w:tcPr>
            <w:tcW w:w="853" w:type="pct"/>
            <w:gridSpan w:val="2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654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Періодичні (за наступний рік)</w:t>
            </w:r>
          </w:p>
        </w:tc>
        <w:tc>
          <w:tcPr>
            <w:tcW w:w="804" w:type="pct"/>
            <w:gridSpan w:val="2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Витрати за </w:t>
            </w:r>
            <w:r w:rsidRPr="00813178">
              <w:rPr>
                <w:lang w:val="uk-UA"/>
              </w:rPr>
              <w:br/>
              <w:t>п’ять років</w:t>
            </w:r>
          </w:p>
        </w:tc>
      </w:tr>
      <w:tr w:rsidR="0076522E" w:rsidRPr="00813178" w:rsidTr="000922DD">
        <w:trPr>
          <w:trHeight w:val="15"/>
        </w:trPr>
        <w:tc>
          <w:tcPr>
            <w:tcW w:w="5000" w:type="pct"/>
            <w:gridSpan w:val="9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1</w:t>
            </w:r>
          </w:p>
        </w:tc>
        <w:tc>
          <w:tcPr>
            <w:tcW w:w="1998" w:type="pct"/>
            <w:gridSpan w:val="2"/>
          </w:tcPr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Процедури отримання заяви та </w:t>
            </w:r>
            <w:r>
              <w:rPr>
                <w:lang w:val="uk-UA"/>
              </w:rPr>
              <w:t xml:space="preserve">збір </w:t>
            </w:r>
            <w:r w:rsidRPr="00813178">
              <w:rPr>
                <w:lang w:val="uk-UA"/>
              </w:rPr>
              <w:t xml:space="preserve">пакету документів, укладання договору, грн. </w:t>
            </w:r>
          </w:p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отримання: </w:t>
            </w:r>
            <w:r w:rsidRPr="000F1F9C">
              <w:rPr>
                <w:sz w:val="20"/>
                <w:szCs w:val="20"/>
                <w:lang w:val="uk-UA"/>
              </w:rPr>
              <w:t>заяви</w:t>
            </w:r>
            <w:r>
              <w:rPr>
                <w:sz w:val="20"/>
                <w:szCs w:val="20"/>
                <w:lang w:val="uk-UA"/>
              </w:rPr>
              <w:t xml:space="preserve"> 0,1 год.х19,34грн. (із розрахунку заробітної плати=3200грн.) = 1,93грн</w:t>
            </w:r>
          </w:p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0F1F9C">
              <w:rPr>
                <w:sz w:val="20"/>
                <w:szCs w:val="20"/>
                <w:lang w:val="uk-UA"/>
              </w:rPr>
              <w:t>збір пакету документів</w:t>
            </w:r>
            <w:r>
              <w:rPr>
                <w:sz w:val="20"/>
                <w:szCs w:val="20"/>
                <w:lang w:val="uk-UA"/>
              </w:rPr>
              <w:t xml:space="preserve"> 4 год.х19,34грн. =77,36грн.</w:t>
            </w:r>
          </w:p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прийом пакету документів і </w:t>
            </w:r>
            <w:r w:rsidRPr="000F1F9C">
              <w:rPr>
                <w:sz w:val="20"/>
                <w:szCs w:val="20"/>
                <w:lang w:val="uk-UA"/>
              </w:rPr>
              <w:t>укладання договору</w:t>
            </w:r>
            <w:r>
              <w:rPr>
                <w:sz w:val="20"/>
                <w:szCs w:val="20"/>
                <w:lang w:val="uk-UA"/>
              </w:rPr>
              <w:t xml:space="preserve"> 2год х180грн.=360 грн.</w:t>
            </w:r>
          </w:p>
          <w:p w:rsidR="0076522E" w:rsidRPr="000F1F9C" w:rsidRDefault="0076522E" w:rsidP="000922DD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2х6 грн.=12грн.</w:t>
            </w: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451,29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451,29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2256,45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Разом, гривень</w:t>
            </w: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451,29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451,29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2256,45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347" w:type="pct"/>
            <w:gridSpan w:val="6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Сумарно, гривень </w:t>
            </w: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8123,22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8123,22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40616,1</w:t>
            </w:r>
          </w:p>
        </w:tc>
      </w:tr>
      <w:tr w:rsidR="0076522E" w:rsidRPr="00813178" w:rsidTr="000922DD">
        <w:trPr>
          <w:trHeight w:val="15"/>
        </w:trPr>
        <w:tc>
          <w:tcPr>
            <w:tcW w:w="5000" w:type="pct"/>
            <w:gridSpan w:val="9"/>
          </w:tcPr>
          <w:p w:rsidR="0076522E" w:rsidRPr="00813178" w:rsidRDefault="0076522E" w:rsidP="000922DD">
            <w:pPr>
              <w:pStyle w:val="rvps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98" w:type="pct"/>
            <w:gridSpan w:val="2"/>
          </w:tcPr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76522E" w:rsidRDefault="0076522E" w:rsidP="000922DD">
            <w:pPr>
              <w:pStyle w:val="rvps1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0F1F9C">
              <w:rPr>
                <w:sz w:val="20"/>
                <w:szCs w:val="20"/>
                <w:lang w:val="uk-UA"/>
              </w:rPr>
              <w:t>итрати</w:t>
            </w:r>
            <w:r>
              <w:rPr>
                <w:sz w:val="20"/>
                <w:szCs w:val="20"/>
                <w:lang w:val="uk-UA"/>
              </w:rPr>
              <w:t xml:space="preserve"> часу на процедуру</w:t>
            </w:r>
            <w:r w:rsidRPr="00813178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отримання: консультації 0,3 год.х19,34грн. (із розрахунку заробітної плати=3200грн.) = 5,80грн</w:t>
            </w: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проїзд 2х6 грн.=12грн</w:t>
            </w: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17,80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17,80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Разом, гривень</w:t>
            </w: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17,80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17,80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347" w:type="pct"/>
            <w:gridSpan w:val="6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</w:t>
            </w:r>
          </w:p>
        </w:tc>
      </w:tr>
      <w:tr w:rsidR="0076522E" w:rsidRPr="00813178" w:rsidTr="000922DD">
        <w:trPr>
          <w:trHeight w:val="15"/>
        </w:trPr>
        <w:tc>
          <w:tcPr>
            <w:tcW w:w="655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98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Сумарно, гривень </w:t>
            </w: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847" w:type="pct"/>
            <w:gridSpan w:val="2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320,40</w:t>
            </w:r>
          </w:p>
        </w:tc>
        <w:tc>
          <w:tcPr>
            <w:tcW w:w="702" w:type="pct"/>
            <w:gridSpan w:val="3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320,40</w:t>
            </w:r>
          </w:p>
        </w:tc>
        <w:tc>
          <w:tcPr>
            <w:tcW w:w="798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1602</w:t>
            </w:r>
          </w:p>
        </w:tc>
      </w:tr>
    </w:tbl>
    <w:p w:rsidR="0076522E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b/>
          <w:lang w:val="uk-UA"/>
        </w:rPr>
      </w:pPr>
      <w:bookmarkStart w:id="3" w:name="n139"/>
      <w:bookmarkStart w:id="4" w:name="n140"/>
      <w:bookmarkEnd w:id="3"/>
      <w:bookmarkEnd w:id="4"/>
    </w:p>
    <w:p w:rsidR="0076522E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b/>
          <w:lang w:val="uk-UA"/>
        </w:rPr>
      </w:pPr>
    </w:p>
    <w:p w:rsidR="0076522E" w:rsidRPr="0046720E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46720E">
        <w:rPr>
          <w:b/>
          <w:lang w:val="uk-UA"/>
        </w:rPr>
        <w:t>Бюджетні витрати на адміністрування регулювання суб’єктів малого підприємництва.</w:t>
      </w:r>
    </w:p>
    <w:p w:rsidR="0076522E" w:rsidRPr="004E436E" w:rsidRDefault="0076522E" w:rsidP="0076522E">
      <w:pPr>
        <w:pStyle w:val="rvps2"/>
        <w:spacing w:before="0" w:beforeAutospacing="0" w:after="0" w:afterAutospacing="0"/>
        <w:ind w:firstLine="708"/>
        <w:jc w:val="both"/>
        <w:rPr>
          <w:lang w:val="uk-UA"/>
        </w:rPr>
      </w:pPr>
      <w:r w:rsidRPr="004E436E">
        <w:rPr>
          <w:lang w:val="uk-UA"/>
        </w:rPr>
        <w:t xml:space="preserve"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 </w:t>
      </w:r>
      <w:bookmarkStart w:id="5" w:name="n142"/>
      <w:bookmarkEnd w:id="5"/>
      <w:r w:rsidRPr="004E436E">
        <w:rPr>
          <w:lang w:val="uk-UA"/>
        </w:rPr>
        <w:t>Державний орган, для якого здійснюється розрахунок вартості адміністрування регулювання:</w:t>
      </w:r>
    </w:p>
    <w:p w:rsidR="0076522E" w:rsidRDefault="0076522E" w:rsidP="0076522E">
      <w:pPr>
        <w:pStyle w:val="rvps2"/>
        <w:spacing w:before="0" w:beforeAutospacing="0" w:after="0" w:afterAutospacing="0"/>
        <w:jc w:val="both"/>
        <w:rPr>
          <w:lang w:val="uk-UA"/>
        </w:rPr>
      </w:pPr>
      <w:bookmarkStart w:id="6" w:name="n143"/>
      <w:bookmarkEnd w:id="6"/>
      <w:r w:rsidRPr="004E436E">
        <w:rPr>
          <w:lang w:val="uk-UA"/>
        </w:rPr>
        <w:t xml:space="preserve">Департамент </w:t>
      </w:r>
      <w:r>
        <w:rPr>
          <w:lang w:val="uk-UA"/>
        </w:rPr>
        <w:t>по роботі з активами</w:t>
      </w:r>
      <w:r w:rsidRPr="004E436E">
        <w:rPr>
          <w:lang w:val="uk-UA"/>
        </w:rPr>
        <w:t xml:space="preserve"> Дніпровської міської ради</w:t>
      </w:r>
      <w:r>
        <w:rPr>
          <w:lang w:val="uk-UA"/>
        </w:rPr>
        <w:t>.</w:t>
      </w:r>
    </w:p>
    <w:p w:rsidR="0076522E" w:rsidRDefault="0076522E" w:rsidP="0076522E">
      <w:pPr>
        <w:pStyle w:val="rvps2"/>
        <w:spacing w:before="0" w:beforeAutospacing="0" w:after="0" w:afterAutospacing="0"/>
        <w:jc w:val="both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7"/>
        <w:gridCol w:w="1104"/>
        <w:gridCol w:w="1439"/>
        <w:gridCol w:w="1606"/>
        <w:gridCol w:w="1943"/>
        <w:gridCol w:w="1606"/>
      </w:tblGrid>
      <w:tr w:rsidR="0076522E" w:rsidRPr="00686CFA" w:rsidTr="000922DD">
        <w:tc>
          <w:tcPr>
            <w:tcW w:w="936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7" w:name="n144"/>
            <w:bookmarkEnd w:id="7"/>
            <w:r w:rsidRPr="00686CFA">
              <w:rPr>
                <w:lang w:val="uk-UA"/>
              </w:rPr>
              <w:t>Процедура регулювання суб’єктів малого підприємництва</w:t>
            </w:r>
            <w:r>
              <w:rPr>
                <w:lang w:val="uk-UA"/>
              </w:rPr>
              <w:t xml:space="preserve">/ </w:t>
            </w:r>
            <w:proofErr w:type="spellStart"/>
            <w:r>
              <w:rPr>
                <w:lang w:val="uk-UA"/>
              </w:rPr>
              <w:t>фіз.осіб</w:t>
            </w:r>
            <w:proofErr w:type="spellEnd"/>
            <w:r w:rsidRPr="00686CFA">
              <w:rPr>
                <w:lang w:val="uk-UA"/>
              </w:rPr>
              <w:t xml:space="preserve"> (розрахунок на одного типового суб’єкта )</w:t>
            </w:r>
          </w:p>
        </w:tc>
        <w:tc>
          <w:tcPr>
            <w:tcW w:w="627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t>Планові витрати часу на процедуру</w:t>
            </w:r>
            <w:r>
              <w:rPr>
                <w:lang w:val="uk-UA"/>
              </w:rPr>
              <w:t>, годин</w:t>
            </w:r>
          </w:p>
        </w:tc>
        <w:tc>
          <w:tcPr>
            <w:tcW w:w="817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t>Вартість часу співробітника</w:t>
            </w:r>
            <w:r>
              <w:rPr>
                <w:lang w:val="uk-UA"/>
              </w:rPr>
              <w:t>/ співробітників</w:t>
            </w:r>
            <w:r w:rsidRPr="00686CFA">
              <w:rPr>
                <w:lang w:val="uk-UA"/>
              </w:rPr>
              <w:t xml:space="preserve"> органу державної влади відповідної категорії (заробітна плата)</w:t>
            </w:r>
            <w:r>
              <w:rPr>
                <w:lang w:val="uk-UA"/>
              </w:rPr>
              <w:t>, гривень</w:t>
            </w:r>
          </w:p>
        </w:tc>
        <w:tc>
          <w:tcPr>
            <w:tcW w:w="912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Витрати на адміністрування регулювання (на одного типового суб’єкта), гривень</w:t>
            </w:r>
          </w:p>
        </w:tc>
        <w:tc>
          <w:tcPr>
            <w:tcW w:w="798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t>Оцінка кількості  суб’єктів, що підпадають під дію процедури регулювання</w:t>
            </w:r>
            <w:r>
              <w:rPr>
                <w:lang w:val="uk-UA"/>
              </w:rPr>
              <w:t>, осіб</w:t>
            </w:r>
          </w:p>
        </w:tc>
        <w:tc>
          <w:tcPr>
            <w:tcW w:w="912" w:type="pct"/>
            <w:vAlign w:val="center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t>Витрати на адміністрування регулювання (за рік), гривень</w:t>
            </w:r>
          </w:p>
        </w:tc>
      </w:tr>
      <w:tr w:rsidR="0076522E" w:rsidRPr="00686CFA" w:rsidTr="000922DD">
        <w:tc>
          <w:tcPr>
            <w:tcW w:w="936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13178">
              <w:rPr>
                <w:lang w:val="uk-UA"/>
              </w:rPr>
              <w:t xml:space="preserve">. Витрати на організацію </w:t>
            </w:r>
            <w:r w:rsidRPr="00813178">
              <w:rPr>
                <w:lang w:val="uk-UA" w:eastAsia="uk-UA"/>
              </w:rPr>
              <w:t xml:space="preserve">обстеження  </w:t>
            </w:r>
            <w:r w:rsidRPr="00813178">
              <w:rPr>
                <w:lang w:val="uk-UA"/>
              </w:rPr>
              <w:t>комісією санітарного та технічного стану Об'єкта обстеження та придатності чи непридатності його для проживання  з виїздом на місце, грн.</w:t>
            </w:r>
          </w:p>
        </w:tc>
        <w:tc>
          <w:tcPr>
            <w:tcW w:w="62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4</w:t>
            </w:r>
          </w:p>
        </w:tc>
        <w:tc>
          <w:tcPr>
            <w:tcW w:w="81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720</w:t>
            </w:r>
          </w:p>
        </w:tc>
        <w:tc>
          <w:tcPr>
            <w:tcW w:w="798" w:type="pct"/>
          </w:tcPr>
          <w:p w:rsidR="0076522E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(18+30)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34560</w:t>
            </w:r>
          </w:p>
        </w:tc>
      </w:tr>
      <w:tr w:rsidR="0076522E" w:rsidRPr="00686CFA" w:rsidTr="000922DD">
        <w:tc>
          <w:tcPr>
            <w:tcW w:w="936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13178">
              <w:rPr>
                <w:lang w:val="uk-UA"/>
              </w:rPr>
              <w:t xml:space="preserve">Процедури </w:t>
            </w:r>
            <w:r>
              <w:rPr>
                <w:lang w:val="uk-UA"/>
              </w:rPr>
              <w:t xml:space="preserve">щодо </w:t>
            </w:r>
            <w:r w:rsidRPr="00813178">
              <w:rPr>
                <w:lang w:val="uk-UA"/>
              </w:rPr>
              <w:t xml:space="preserve">обслуговування обладнання (заправка картриджів копіювальної апаратури, технічне обслуговування оргтехніки), витрати на придбання паперу та </w:t>
            </w:r>
            <w:r w:rsidRPr="00813178">
              <w:rPr>
                <w:lang w:val="uk-UA"/>
              </w:rPr>
              <w:lastRenderedPageBreak/>
              <w:t>канцелярського приладдя.</w:t>
            </w:r>
          </w:p>
        </w:tc>
        <w:tc>
          <w:tcPr>
            <w:tcW w:w="62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0,5</w:t>
            </w:r>
          </w:p>
        </w:tc>
        <w:tc>
          <w:tcPr>
            <w:tcW w:w="81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98" w:type="pct"/>
          </w:tcPr>
          <w:p w:rsidR="0076522E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(18+30)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4320</w:t>
            </w:r>
          </w:p>
        </w:tc>
      </w:tr>
      <w:tr w:rsidR="0076522E" w:rsidRPr="00686CFA" w:rsidTr="000922DD">
        <w:tc>
          <w:tcPr>
            <w:tcW w:w="936" w:type="pct"/>
          </w:tcPr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lastRenderedPageBreak/>
              <w:t>Разом за рік</w:t>
            </w:r>
          </w:p>
        </w:tc>
        <w:tc>
          <w:tcPr>
            <w:tcW w:w="627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817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798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3</w:t>
            </w:r>
            <w:r>
              <w:rPr>
                <w:lang w:val="uk-UA"/>
              </w:rPr>
              <w:t>8880</w:t>
            </w:r>
          </w:p>
        </w:tc>
      </w:tr>
      <w:tr w:rsidR="0076522E" w:rsidRPr="00686CFA" w:rsidTr="000922DD">
        <w:tc>
          <w:tcPr>
            <w:tcW w:w="936" w:type="pct"/>
          </w:tcPr>
          <w:p w:rsidR="0076522E" w:rsidRPr="00686CFA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686CFA">
              <w:rPr>
                <w:lang w:val="uk-UA"/>
              </w:rPr>
              <w:t>Сумарно за п’ять років</w:t>
            </w:r>
          </w:p>
        </w:tc>
        <w:tc>
          <w:tcPr>
            <w:tcW w:w="627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817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798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686CFA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686CFA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194400</w:t>
            </w:r>
          </w:p>
        </w:tc>
      </w:tr>
    </w:tbl>
    <w:p w:rsidR="0076522E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lang w:val="uk-UA"/>
        </w:rPr>
      </w:pPr>
    </w:p>
    <w:p w:rsidR="0076522E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lang w:val="uk-UA"/>
        </w:rPr>
      </w:pPr>
      <w:r w:rsidRPr="00813178">
        <w:rPr>
          <w:lang w:val="uk-UA"/>
        </w:rPr>
        <w:t xml:space="preserve">Державне регулювання не передбачає утворення нового державного органу або створення нового структурного підрозділу діючого органу. Повноваження щодо адміністрування  даного  регуляторного </w:t>
      </w:r>
      <w:proofErr w:type="spellStart"/>
      <w:r w:rsidRPr="00813178">
        <w:rPr>
          <w:lang w:val="uk-UA"/>
        </w:rPr>
        <w:t>акта</w:t>
      </w:r>
      <w:proofErr w:type="spellEnd"/>
      <w:r w:rsidRPr="00813178">
        <w:rPr>
          <w:lang w:val="uk-UA"/>
        </w:rPr>
        <w:t xml:space="preserve"> делеговані проектом рішення Дніпровської міської ради Комунальному підприємству « Бюро обліку майнових прав та діяльності з нерухомістю» Дніпропетровської міської ради  і не передбачають бюджетних витрат.</w:t>
      </w:r>
    </w:p>
    <w:p w:rsidR="0076522E" w:rsidRPr="00813178" w:rsidRDefault="0076522E" w:rsidP="0076522E">
      <w:pPr>
        <w:pStyle w:val="rvps3"/>
        <w:spacing w:before="0" w:beforeAutospacing="0" w:after="0" w:afterAutospacing="0"/>
        <w:ind w:firstLine="708"/>
        <w:jc w:val="both"/>
        <w:rPr>
          <w:lang w:val="uk-UA"/>
        </w:rPr>
      </w:pPr>
    </w:p>
    <w:p w:rsidR="0076522E" w:rsidRDefault="0076522E" w:rsidP="0076522E">
      <w:pPr>
        <w:pStyle w:val="rvps2"/>
        <w:numPr>
          <w:ilvl w:val="0"/>
          <w:numId w:val="1"/>
        </w:numPr>
        <w:tabs>
          <w:tab w:val="clear" w:pos="540"/>
          <w:tab w:val="num" w:pos="0"/>
        </w:tabs>
        <w:spacing w:before="0" w:beforeAutospacing="0" w:after="0" w:afterAutospacing="0"/>
        <w:ind w:left="0" w:firstLine="720"/>
        <w:rPr>
          <w:lang w:val="uk-UA"/>
        </w:rPr>
      </w:pPr>
      <w:bookmarkStart w:id="8" w:name="n148"/>
      <w:bookmarkEnd w:id="8"/>
      <w:r w:rsidRPr="00813178">
        <w:rPr>
          <w:lang w:val="uk-UA"/>
        </w:rPr>
        <w:t>Розрахунок витрат Комунального підприємства « Бюро обліку майнових прав та діяльності з нерухомістю» Дніпропетровської міської ради на виконання вимог регулювання</w:t>
      </w:r>
    </w:p>
    <w:p w:rsidR="0076522E" w:rsidRDefault="0076522E" w:rsidP="0076522E">
      <w:pPr>
        <w:pStyle w:val="rvps2"/>
        <w:spacing w:before="0" w:beforeAutospacing="0" w:after="0" w:afterAutospacing="0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1"/>
        <w:gridCol w:w="992"/>
        <w:gridCol w:w="1632"/>
        <w:gridCol w:w="1705"/>
        <w:gridCol w:w="1602"/>
        <w:gridCol w:w="1703"/>
      </w:tblGrid>
      <w:tr w:rsidR="0076522E" w:rsidRPr="00813178" w:rsidTr="000922DD">
        <w:tc>
          <w:tcPr>
            <w:tcW w:w="915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Процедура регулювання (розрахунок на одного типового суб’єкта)</w:t>
            </w:r>
          </w:p>
        </w:tc>
        <w:tc>
          <w:tcPr>
            <w:tcW w:w="531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Планові витрати часу на процедуру, годин</w:t>
            </w:r>
          </w:p>
        </w:tc>
        <w:tc>
          <w:tcPr>
            <w:tcW w:w="873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Вартість часу співробітника органу державної влади /КП «БЮРО» ДМР відповідної категорії (заробітна плата)</w:t>
            </w:r>
            <w:r>
              <w:rPr>
                <w:lang w:val="uk-UA"/>
              </w:rPr>
              <w:t>, гривень</w:t>
            </w:r>
          </w:p>
        </w:tc>
        <w:tc>
          <w:tcPr>
            <w:tcW w:w="912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Витрати на адміністрування регулювання (на одного типового суб’єкта), гривень </w:t>
            </w:r>
          </w:p>
        </w:tc>
        <w:tc>
          <w:tcPr>
            <w:tcW w:w="857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Кількість  суб’єктів, що підпадають під дію процедури регулювання</w:t>
            </w:r>
            <w:r>
              <w:rPr>
                <w:lang w:val="uk-UA"/>
              </w:rPr>
              <w:t>, осіб</w:t>
            </w:r>
          </w:p>
        </w:tc>
        <w:tc>
          <w:tcPr>
            <w:tcW w:w="911" w:type="pct"/>
            <w:vAlign w:val="center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Витрати на адміністрування регулювання (за рік), гривень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1. Надання суб’єктам господарювання консультацій щодо виконання вимог регуляторного </w:t>
            </w:r>
            <w:proofErr w:type="spellStart"/>
            <w:r w:rsidRPr="00813178">
              <w:rPr>
                <w:lang w:val="uk-UA"/>
              </w:rPr>
              <w:t>акта</w:t>
            </w:r>
            <w:proofErr w:type="spellEnd"/>
            <w:r w:rsidRPr="00813178">
              <w:rPr>
                <w:lang w:val="uk-UA"/>
              </w:rPr>
              <w:t>, грн..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8640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2. Процедура отримання заяви та </w:t>
            </w:r>
            <w:r>
              <w:rPr>
                <w:lang w:val="uk-UA"/>
              </w:rPr>
              <w:t xml:space="preserve">опрацювання </w:t>
            </w:r>
            <w:r w:rsidRPr="00813178">
              <w:rPr>
                <w:lang w:val="uk-UA"/>
              </w:rPr>
              <w:t>пакету документів, укладання договору, грн.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2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360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17280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3. Витрати на </w:t>
            </w:r>
            <w:r>
              <w:rPr>
                <w:lang w:val="uk-UA"/>
              </w:rPr>
              <w:t xml:space="preserve">проведення </w:t>
            </w:r>
            <w:r w:rsidRPr="00813178">
              <w:rPr>
                <w:lang w:val="uk-UA"/>
              </w:rPr>
              <w:t xml:space="preserve">організацію </w:t>
            </w:r>
            <w:r w:rsidRPr="00813178">
              <w:rPr>
                <w:lang w:val="uk-UA" w:eastAsia="uk-UA"/>
              </w:rPr>
              <w:t xml:space="preserve">обстеження  </w:t>
            </w:r>
            <w:r w:rsidRPr="00813178">
              <w:rPr>
                <w:lang w:val="uk-UA"/>
              </w:rPr>
              <w:t xml:space="preserve">комісією санітарного та технічного стану Об'єкта обстеження та </w:t>
            </w:r>
            <w:r w:rsidRPr="00813178">
              <w:rPr>
                <w:lang w:val="uk-UA"/>
              </w:rPr>
              <w:lastRenderedPageBreak/>
              <w:t>придатності чи непридатності його для проживання  з виїздом на місце, грн.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lastRenderedPageBreak/>
              <w:t>4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720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34560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84312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lastRenderedPageBreak/>
              <w:t xml:space="preserve">Витрати на складання висновку та акту обстеження </w:t>
            </w:r>
            <w:r w:rsidRPr="00813178">
              <w:rPr>
                <w:lang w:eastAsia="uk-UA"/>
              </w:rPr>
              <w:t xml:space="preserve">з </w:t>
            </w:r>
            <w:proofErr w:type="spellStart"/>
            <w:r w:rsidRPr="00813178">
              <w:rPr>
                <w:lang w:eastAsia="uk-UA"/>
              </w:rPr>
              <w:t>копією</w:t>
            </w:r>
            <w:proofErr w:type="spellEnd"/>
            <w:r w:rsidRPr="00813178">
              <w:rPr>
                <w:lang w:eastAsia="uk-UA"/>
              </w:rPr>
              <w:t xml:space="preserve"> </w:t>
            </w:r>
            <w:proofErr w:type="spellStart"/>
            <w:r w:rsidRPr="00813178">
              <w:rPr>
                <w:lang w:eastAsia="uk-UA"/>
              </w:rPr>
              <w:t>повного</w:t>
            </w:r>
            <w:proofErr w:type="spellEnd"/>
            <w:r w:rsidRPr="00813178">
              <w:rPr>
                <w:lang w:eastAsia="uk-UA"/>
              </w:rPr>
              <w:t xml:space="preserve"> пакету </w:t>
            </w:r>
            <w:proofErr w:type="spellStart"/>
            <w:r w:rsidRPr="00813178">
              <w:rPr>
                <w:lang w:eastAsia="uk-UA"/>
              </w:rPr>
              <w:t>документів</w:t>
            </w:r>
            <w:proofErr w:type="spellEnd"/>
            <w:r>
              <w:rPr>
                <w:lang w:val="uk-UA" w:eastAsia="uk-UA"/>
              </w:rPr>
              <w:t>,грн.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2,5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450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21600</w:t>
            </w:r>
          </w:p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 xml:space="preserve">Процедури </w:t>
            </w:r>
            <w:r>
              <w:rPr>
                <w:lang w:val="uk-UA"/>
              </w:rPr>
              <w:t xml:space="preserve">щодо </w:t>
            </w:r>
            <w:r w:rsidRPr="00813178">
              <w:rPr>
                <w:lang w:val="uk-UA"/>
              </w:rPr>
              <w:t>обслуговування обладнання (заправка картриджів копіювальної апаратури, технічне обслуговування оргтехніки), витрати на придбання па</w:t>
            </w:r>
            <w:r>
              <w:rPr>
                <w:lang w:val="uk-UA"/>
              </w:rPr>
              <w:t>перу та канцелярського приладдя, грн.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180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8640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813178">
              <w:rPr>
                <w:lang w:val="uk-UA"/>
              </w:rPr>
              <w:t>Сумма</w:t>
            </w:r>
            <w:proofErr w:type="spellEnd"/>
            <w:r w:rsidRPr="00813178">
              <w:rPr>
                <w:lang w:val="uk-UA"/>
              </w:rPr>
              <w:t>, грн.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1890</w:t>
            </w:r>
            <w:r>
              <w:rPr>
                <w:lang w:val="uk-UA"/>
              </w:rPr>
              <w:t>*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Разом за рік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90720</w:t>
            </w:r>
          </w:p>
        </w:tc>
      </w:tr>
      <w:tr w:rsidR="0076522E" w:rsidRPr="00813178" w:rsidTr="000922DD">
        <w:tc>
          <w:tcPr>
            <w:tcW w:w="915" w:type="pct"/>
          </w:tcPr>
          <w:p w:rsidR="0076522E" w:rsidRPr="00813178" w:rsidRDefault="0076522E" w:rsidP="000922DD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13178">
              <w:rPr>
                <w:lang w:val="uk-UA"/>
              </w:rPr>
              <w:t>Сумарно за п’ять років</w:t>
            </w:r>
          </w:p>
        </w:tc>
        <w:tc>
          <w:tcPr>
            <w:tcW w:w="531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873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912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857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 w:rsidRPr="00813178">
              <w:rPr>
                <w:lang w:val="uk-UA"/>
              </w:rPr>
              <w:t>Х</w:t>
            </w:r>
          </w:p>
        </w:tc>
        <w:tc>
          <w:tcPr>
            <w:tcW w:w="911" w:type="pct"/>
          </w:tcPr>
          <w:p w:rsidR="0076522E" w:rsidRPr="00813178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453600</w:t>
            </w:r>
          </w:p>
        </w:tc>
      </w:tr>
    </w:tbl>
    <w:p w:rsidR="0076522E" w:rsidRDefault="0076522E" w:rsidP="0076522E">
      <w:pPr>
        <w:pStyle w:val="rvps2"/>
        <w:spacing w:before="0" w:beforeAutospacing="0" w:after="0" w:afterAutospacing="0"/>
        <w:ind w:left="180"/>
        <w:rPr>
          <w:lang w:val="uk-UA"/>
        </w:rPr>
      </w:pPr>
      <w:r>
        <w:rPr>
          <w:lang w:val="uk-UA"/>
        </w:rPr>
        <w:t>*- Пільговій категорії громадян, у тому числі особам пенсійного віку встановити пільгу у розмірі 50% від вартості надання послуги ( 945 гривень).</w:t>
      </w:r>
    </w:p>
    <w:p w:rsidR="0076522E" w:rsidRDefault="0076522E" w:rsidP="0076522E">
      <w:pPr>
        <w:pStyle w:val="rvps2"/>
        <w:spacing w:before="0" w:beforeAutospacing="0" w:after="0" w:afterAutospacing="0"/>
        <w:ind w:left="180"/>
        <w:rPr>
          <w:lang w:val="uk-UA"/>
        </w:rPr>
      </w:pPr>
    </w:p>
    <w:p w:rsidR="0076522E" w:rsidRDefault="0076522E" w:rsidP="0076522E">
      <w:pPr>
        <w:pStyle w:val="rvps2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813178">
        <w:rPr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p w:rsidR="0076522E" w:rsidRPr="00813178" w:rsidRDefault="0076522E" w:rsidP="0076522E">
      <w:pPr>
        <w:pStyle w:val="rvps2"/>
        <w:spacing w:before="0" w:beforeAutospacing="0" w:after="0" w:afterAutospacing="0"/>
        <w:ind w:left="180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2"/>
        <w:gridCol w:w="3365"/>
        <w:gridCol w:w="2348"/>
        <w:gridCol w:w="2220"/>
      </w:tblGrid>
      <w:tr w:rsidR="0076522E" w:rsidRPr="00813178" w:rsidTr="000922DD">
        <w:tc>
          <w:tcPr>
            <w:tcW w:w="1414" w:type="dxa"/>
            <w:vAlign w:val="center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bookmarkStart w:id="9" w:name="n149"/>
            <w:bookmarkEnd w:id="9"/>
            <w:r w:rsidRPr="009F39C1">
              <w:rPr>
                <w:sz w:val="23"/>
                <w:szCs w:val="23"/>
                <w:lang w:val="uk-UA"/>
              </w:rPr>
              <w:t>Порядковий номер</w:t>
            </w:r>
          </w:p>
        </w:tc>
        <w:tc>
          <w:tcPr>
            <w:tcW w:w="3372" w:type="dxa"/>
            <w:vAlign w:val="center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Показник</w:t>
            </w:r>
          </w:p>
        </w:tc>
        <w:tc>
          <w:tcPr>
            <w:tcW w:w="2362" w:type="dxa"/>
            <w:vAlign w:val="center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Перший рік регулювання (стартовий)</w:t>
            </w:r>
          </w:p>
        </w:tc>
        <w:tc>
          <w:tcPr>
            <w:tcW w:w="2237" w:type="dxa"/>
            <w:vAlign w:val="center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За п’ять років</w:t>
            </w:r>
          </w:p>
        </w:tc>
      </w:tr>
      <w:tr w:rsidR="0076522E" w:rsidRPr="00813178" w:rsidTr="000922DD">
        <w:tc>
          <w:tcPr>
            <w:tcW w:w="1414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37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36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8123,22</w:t>
            </w:r>
          </w:p>
        </w:tc>
        <w:tc>
          <w:tcPr>
            <w:tcW w:w="2237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40616,10</w:t>
            </w:r>
          </w:p>
        </w:tc>
      </w:tr>
      <w:tr w:rsidR="0076522E" w:rsidRPr="00813178" w:rsidTr="000922DD">
        <w:tc>
          <w:tcPr>
            <w:tcW w:w="1414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37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62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320,40</w:t>
            </w:r>
          </w:p>
        </w:tc>
        <w:tc>
          <w:tcPr>
            <w:tcW w:w="2237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1602</w:t>
            </w:r>
          </w:p>
        </w:tc>
      </w:tr>
      <w:tr w:rsidR="0076522E" w:rsidRPr="00813178" w:rsidTr="000922DD">
        <w:tc>
          <w:tcPr>
            <w:tcW w:w="1414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lastRenderedPageBreak/>
              <w:t>3</w:t>
            </w:r>
          </w:p>
        </w:tc>
        <w:tc>
          <w:tcPr>
            <w:tcW w:w="337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36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8443,62</w:t>
            </w:r>
          </w:p>
        </w:tc>
        <w:tc>
          <w:tcPr>
            <w:tcW w:w="2237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42218,10</w:t>
            </w:r>
          </w:p>
        </w:tc>
      </w:tr>
      <w:tr w:rsidR="0076522E" w:rsidRPr="00813178" w:rsidTr="000922DD">
        <w:tc>
          <w:tcPr>
            <w:tcW w:w="1414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37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36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38880</w:t>
            </w:r>
          </w:p>
        </w:tc>
        <w:tc>
          <w:tcPr>
            <w:tcW w:w="2237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194400</w:t>
            </w:r>
          </w:p>
        </w:tc>
      </w:tr>
      <w:tr w:rsidR="0076522E" w:rsidRPr="00813178" w:rsidTr="000922DD">
        <w:tc>
          <w:tcPr>
            <w:tcW w:w="1414" w:type="dxa"/>
          </w:tcPr>
          <w:p w:rsidR="0076522E" w:rsidRPr="009F39C1" w:rsidRDefault="0076522E" w:rsidP="000922DD">
            <w:pPr>
              <w:pStyle w:val="rvps12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37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362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47323,62</w:t>
            </w:r>
          </w:p>
        </w:tc>
        <w:tc>
          <w:tcPr>
            <w:tcW w:w="2237" w:type="dxa"/>
          </w:tcPr>
          <w:p w:rsidR="0076522E" w:rsidRPr="009F39C1" w:rsidRDefault="0076522E" w:rsidP="000922DD">
            <w:pPr>
              <w:pStyle w:val="rvps14"/>
              <w:spacing w:before="0" w:beforeAutospacing="0" w:after="0" w:afterAutospacing="0"/>
              <w:jc w:val="center"/>
              <w:rPr>
                <w:sz w:val="23"/>
                <w:szCs w:val="23"/>
                <w:lang w:val="uk-UA"/>
              </w:rPr>
            </w:pPr>
            <w:r w:rsidRPr="009F39C1">
              <w:rPr>
                <w:sz w:val="23"/>
                <w:szCs w:val="23"/>
                <w:lang w:val="uk-UA"/>
              </w:rPr>
              <w:t>236618,1</w:t>
            </w:r>
          </w:p>
        </w:tc>
      </w:tr>
    </w:tbl>
    <w:p w:rsidR="0076522E" w:rsidRDefault="0076522E" w:rsidP="0076522E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</w:p>
    <w:p w:rsidR="0076522E" w:rsidRPr="00813178" w:rsidRDefault="0076522E" w:rsidP="007652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13178">
        <w:rPr>
          <w:rFonts w:ascii="Times New Roman" w:hAnsi="Times New Roman"/>
          <w:b/>
          <w:sz w:val="24"/>
          <w:szCs w:val="24"/>
          <w:lang w:val="uk-UA"/>
        </w:rPr>
        <w:t xml:space="preserve">Розроблення </w:t>
      </w:r>
      <w:proofErr w:type="spellStart"/>
      <w:r w:rsidRPr="00813178">
        <w:rPr>
          <w:rFonts w:ascii="Times New Roman" w:hAnsi="Times New Roman"/>
          <w:b/>
          <w:sz w:val="24"/>
          <w:szCs w:val="24"/>
          <w:lang w:val="uk-UA"/>
        </w:rPr>
        <w:t>корегуючих</w:t>
      </w:r>
      <w:proofErr w:type="spellEnd"/>
      <w:r w:rsidRPr="00813178">
        <w:rPr>
          <w:rFonts w:ascii="Times New Roman" w:hAnsi="Times New Roman"/>
          <w:b/>
          <w:sz w:val="24"/>
          <w:szCs w:val="24"/>
          <w:lang w:val="uk-UA"/>
        </w:rPr>
        <w:t xml:space="preserve"> (пом’якшувальних) заходів для малого підприємництва щодо запропонованого регулювання</w:t>
      </w:r>
      <w:r w:rsidRPr="008131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6522E" w:rsidRPr="00813178" w:rsidRDefault="0076522E" w:rsidP="007652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522E" w:rsidRDefault="0076522E" w:rsidP="007652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13178">
        <w:rPr>
          <w:rFonts w:ascii="Times New Roman" w:hAnsi="Times New Roman"/>
          <w:sz w:val="24"/>
          <w:szCs w:val="24"/>
          <w:lang w:val="uk-UA"/>
        </w:rPr>
        <w:t xml:space="preserve">Для суб’єктів господарювання, які здійснюють діяльність, охоплену </w:t>
      </w:r>
      <w:r>
        <w:rPr>
          <w:rFonts w:ascii="Times New Roman" w:hAnsi="Times New Roman"/>
          <w:sz w:val="24"/>
          <w:szCs w:val="24"/>
          <w:lang w:val="uk-UA"/>
        </w:rPr>
        <w:t xml:space="preserve">проектом </w:t>
      </w:r>
      <w:r w:rsidRPr="00813178">
        <w:rPr>
          <w:rFonts w:ascii="Times New Roman" w:hAnsi="Times New Roman"/>
          <w:sz w:val="24"/>
          <w:szCs w:val="24"/>
          <w:lang w:val="uk-UA"/>
        </w:rPr>
        <w:t>регуляторн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813178">
        <w:rPr>
          <w:rFonts w:ascii="Times New Roman" w:hAnsi="Times New Roman"/>
          <w:sz w:val="24"/>
          <w:szCs w:val="24"/>
          <w:lang w:val="uk-UA"/>
        </w:rPr>
        <w:t xml:space="preserve"> акт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813178">
        <w:rPr>
          <w:rFonts w:ascii="Times New Roman" w:hAnsi="Times New Roman"/>
          <w:sz w:val="24"/>
          <w:szCs w:val="24"/>
          <w:lang w:val="uk-UA"/>
        </w:rPr>
        <w:t>, коригуючим  (пом’якшувальним) заходом є можливість здійснення обстеження Об'єкта для подальшо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813178">
        <w:rPr>
          <w:rFonts w:ascii="Times New Roman" w:hAnsi="Times New Roman"/>
          <w:sz w:val="24"/>
          <w:szCs w:val="24"/>
          <w:lang w:val="uk-UA"/>
        </w:rPr>
        <w:t xml:space="preserve"> зміни правового режиму об’єктів нерухомого майна, передбаченою чинними нормативними актами, а також зменшення витрат часу для здійснення обстеження Об'єкта.</w:t>
      </w:r>
    </w:p>
    <w:p w:rsidR="0076522E" w:rsidRPr="00813178" w:rsidRDefault="0076522E" w:rsidP="0076522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522E" w:rsidRPr="00813178" w:rsidRDefault="0076522E" w:rsidP="0076522E">
      <w:pPr>
        <w:shd w:val="clear" w:color="auto" w:fill="FFFFFF"/>
        <w:ind w:firstLine="993"/>
        <w:textAlignment w:val="baseline"/>
        <w:rPr>
          <w:bCs/>
          <w:bdr w:val="none" w:sz="0" w:space="0" w:color="auto" w:frame="1"/>
        </w:rPr>
      </w:pPr>
    </w:p>
    <w:p w:rsidR="00413A0A" w:rsidRDefault="00413A0A">
      <w:bookmarkStart w:id="10" w:name="_GoBack"/>
      <w:bookmarkEnd w:id="10"/>
    </w:p>
    <w:sectPr w:rsidR="00413A0A" w:rsidSect="00DF569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50F"/>
    <w:multiLevelType w:val="hybridMultilevel"/>
    <w:tmpl w:val="1108DE22"/>
    <w:lvl w:ilvl="0" w:tplc="D3AAB7D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2E"/>
    <w:rsid w:val="00413A0A"/>
    <w:rsid w:val="007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3585-C480-4A74-8635-2F6C59AE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6522E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76522E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76522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76522E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7652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1</cp:revision>
  <dcterms:created xsi:type="dcterms:W3CDTF">2017-12-22T13:37:00Z</dcterms:created>
  <dcterms:modified xsi:type="dcterms:W3CDTF">2017-12-22T13:38:00Z</dcterms:modified>
</cp:coreProperties>
</file>