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92" w:rsidRPr="007356E1" w:rsidRDefault="002F0592" w:rsidP="00897C4E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7C4E" w:rsidRPr="007356E1" w:rsidRDefault="00897C4E" w:rsidP="00897C4E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56E1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897C4E" w:rsidRPr="007356E1" w:rsidRDefault="00897C4E" w:rsidP="00897C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56E1">
        <w:rPr>
          <w:rFonts w:ascii="Times New Roman" w:hAnsi="Times New Roman" w:cs="Times New Roman"/>
          <w:b/>
          <w:sz w:val="28"/>
          <w:szCs w:val="28"/>
          <w:lang w:val="uk-UA"/>
        </w:rPr>
        <w:t>ПРО ВИЗНАЧЕННЯ ОБСЯГУ СТРАТЕГІЧНОЇ ЕКОЛОГІЧНОЇ ОЦІНКИ</w:t>
      </w:r>
    </w:p>
    <w:p w:rsidR="00897C4E" w:rsidRPr="007356E1" w:rsidRDefault="002F0592" w:rsidP="00897C4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56E1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r w:rsidR="00897C4E" w:rsidRPr="007356E1">
        <w:rPr>
          <w:rFonts w:ascii="Times New Roman" w:hAnsi="Times New Roman" w:cs="Times New Roman"/>
          <w:b/>
          <w:sz w:val="28"/>
          <w:szCs w:val="28"/>
          <w:lang w:val="uk-UA"/>
        </w:rPr>
        <w:t>у «</w:t>
      </w:r>
      <w:r w:rsidR="00897C4E" w:rsidRPr="007356E1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Детальний план території кварталу, обмеженого </w:t>
      </w:r>
      <w:r w:rsidR="00AB1FEB" w:rsidRPr="007356E1">
        <w:rPr>
          <w:rFonts w:ascii="Times New Roman" w:hAnsi="Times New Roman" w:cs="Times New Roman"/>
          <w:b/>
          <w:sz w:val="28"/>
          <w:szCs w:val="28"/>
          <w:lang w:val="uk-UA" w:eastAsia="uk-UA"/>
        </w:rPr>
        <w:t>вулицями Паторжинського, Олеся Гончара, Чернишевського та Василя Жуковського</w:t>
      </w:r>
      <w:r w:rsidRPr="007356E1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(Соборний район)</w:t>
      </w:r>
      <w:r w:rsidR="00897C4E" w:rsidRPr="007356E1">
        <w:rPr>
          <w:rFonts w:ascii="Times New Roman" w:hAnsi="Times New Roman" w:cs="Times New Roman"/>
          <w:b/>
          <w:sz w:val="28"/>
          <w:szCs w:val="28"/>
          <w:lang w:val="uk-UA" w:eastAsia="uk-UA"/>
        </w:rPr>
        <w:t>» у місті Дніпрі.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56E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Замовник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 Департамент по роботі з активами Дніпровської міської ради (підстава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AB1FEB"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рішення Дніпровської міської ради від </w:t>
      </w:r>
      <w:r w:rsidR="00AB1FEB" w:rsidRPr="007356E1">
        <w:rPr>
          <w:rFonts w:ascii="Times New Roman" w:hAnsi="Times New Roman" w:cs="Times New Roman"/>
          <w:bCs/>
          <w:spacing w:val="-10"/>
          <w:sz w:val="24"/>
          <w:szCs w:val="24"/>
          <w:lang w:val="uk-UA"/>
        </w:rPr>
        <w:t>21.04.2021 № 414/6</w:t>
      </w:r>
      <w:r w:rsidR="00AB1FEB"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 w:rsidR="00AB1FEB" w:rsidRPr="007356E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розроблення детального плану </w:t>
      </w:r>
      <w:r w:rsidR="00AB1FEB" w:rsidRPr="007356E1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AB1FEB" w:rsidRPr="007356E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Детальний план території кварталу, обмеженого </w:t>
      </w:r>
      <w:r w:rsidR="00AB1FEB" w:rsidRPr="007356E1">
        <w:rPr>
          <w:rFonts w:ascii="Times New Roman" w:hAnsi="Times New Roman" w:cs="Times New Roman"/>
          <w:sz w:val="24"/>
          <w:szCs w:val="24"/>
          <w:lang w:val="uk-UA"/>
        </w:rPr>
        <w:t>вулицями Паторжинського, Олеся Гончара, Чернишевського та Василя Жуковського</w:t>
      </w:r>
      <w:r w:rsidR="00AB1FEB" w:rsidRPr="007356E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(Соборний район)”</w:t>
      </w:r>
      <w:r w:rsidRPr="007356E1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b/>
          <w:sz w:val="24"/>
          <w:szCs w:val="24"/>
          <w:lang w:val="uk-UA"/>
        </w:rPr>
        <w:t>Вид та основні цілі документа державного планування, його зв’язок з іншими документами державного планування.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>Детальний план території є видом містобудівної документації на місцевому рівні, призначеної для уточнення рішень генерального плану міста та визначає довгострокову стратегію планування та забудови території в межах детального плану. Детальний план території розробляється на виконання статті 17 Закону України «Про регулювання містобудівної діяльності».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>Детальний план території  розробляється та затверджується в інтересах відповідної територіальної громади з урахуванням державних, громадських та приватних інтересів.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>Склад та зміст детального плану визначається ДБН Б.1.1-14:2012 «Склад та зміст детального плану території». Рішення детального плану мають відповідати основним рішенням затвердженого генерального плану, вимогам ДБН Б.2.2-12:2018 «Планування та забудова територій», ДСП 173 – 96 «Державні санітарні правила планування та забудови населених пунктів», а також широкого кола інших державних будівельних норм та державних стандартів України.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>Детальний план визначає принципи і напрямки планувальної організації та функціонального призначення території, згідно рішень генерального плану міста, формування системи громадського обслуговування населення, організації вулично-дорожньої та транспортної мережі, інженерного обладнання, інженерної підготовки і благоустрою, цивільного захисту території та населення від небезпечних природних і техногенних процесів, охорони навколишнього природного середовища, охорони та збереження культурної спадщини та традиційного характеру середовища історичних населених пунктів, а також послідовність реалізації рішень, у тому числі етапність освоєння території.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56E1">
        <w:rPr>
          <w:rFonts w:ascii="Times New Roman" w:hAnsi="Times New Roman" w:cs="Times New Roman"/>
          <w:sz w:val="24"/>
          <w:szCs w:val="24"/>
          <w:lang w:val="uk-UA" w:eastAsia="uk-UA"/>
        </w:rPr>
        <w:t>Детальний план територіїкварталу, обмежено</w:t>
      </w:r>
      <w:r w:rsidR="002F0592" w:rsidRPr="007356E1">
        <w:rPr>
          <w:rFonts w:ascii="Times New Roman" w:hAnsi="Times New Roman" w:cs="Times New Roman"/>
          <w:sz w:val="24"/>
          <w:szCs w:val="24"/>
          <w:lang w:val="uk-UA" w:eastAsia="uk-UA"/>
        </w:rPr>
        <w:t>го</w:t>
      </w:r>
      <w:r w:rsidR="00AB1FEB" w:rsidRPr="007356E1">
        <w:rPr>
          <w:rFonts w:ascii="Times New Roman" w:hAnsi="Times New Roman" w:cs="Times New Roman"/>
          <w:sz w:val="24"/>
          <w:szCs w:val="24"/>
          <w:lang w:val="uk-UA" w:eastAsia="uk-UA"/>
        </w:rPr>
        <w:t>вулицями Паторжинського, Олеся Гончара, Чернишевського та Василя Жуковського</w:t>
      </w:r>
      <w:r w:rsidR="002F0592" w:rsidRPr="007356E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(Соборний район)</w:t>
      </w:r>
      <w:r w:rsidRPr="007356E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міста Дніпра,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розробляється на виконання рішення Дніпровської міської ради від </w:t>
      </w:r>
      <w:r w:rsidRPr="007356E1">
        <w:rPr>
          <w:rFonts w:ascii="Times New Roman" w:hAnsi="Times New Roman" w:cs="Times New Roman"/>
          <w:bCs/>
          <w:spacing w:val="-10"/>
          <w:sz w:val="24"/>
          <w:szCs w:val="24"/>
          <w:lang w:val="uk-UA" w:eastAsia="ru-RU"/>
        </w:rPr>
        <w:t>22.04.2020 №209/56</w:t>
      </w:r>
    </w:p>
    <w:p w:rsidR="00897C4E" w:rsidRPr="007356E1" w:rsidRDefault="00897C4E" w:rsidP="00897C4E">
      <w:pPr>
        <w:keepLine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>Детальний план розробляється у розвиток рішень генерального плану міста Дніпр</w:t>
      </w:r>
      <w:r w:rsidR="007356E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, Генеральної схеми планування території України та Схеми планування території області (СПТ Дніпропетровської області (ДП «ДІПРОМІСТО», Київ, 2009 р.). </w:t>
      </w:r>
    </w:p>
    <w:p w:rsidR="00897C4E" w:rsidRPr="007356E1" w:rsidRDefault="00897C4E" w:rsidP="00897C4E">
      <w:pPr>
        <w:keepLine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При розроблені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у враховуються також стратегії і програми економічного, екологічного, соціального розвитку; наявна чинна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на документація; спеціалізовані схеми,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и і програми що діють в населеному пункту, в тому числі: </w:t>
      </w:r>
    </w:p>
    <w:p w:rsidR="00897C4E" w:rsidRPr="007356E1" w:rsidRDefault="00897C4E" w:rsidP="00897C4E">
      <w:pPr>
        <w:keepLines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>Цілі сталого розвитку: Дніпро – 2030, «Регіональна доповідь»;</w:t>
      </w:r>
    </w:p>
    <w:p w:rsidR="00897C4E" w:rsidRPr="007356E1" w:rsidRDefault="00897C4E" w:rsidP="00897C4E">
      <w:pPr>
        <w:keepLines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>Стратегія розвитку Дніпропетровської області;</w:t>
      </w:r>
    </w:p>
    <w:p w:rsidR="00897C4E" w:rsidRPr="007356E1" w:rsidRDefault="00897C4E" w:rsidP="00897C4E">
      <w:pPr>
        <w:keepLines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>Комплексна програма охорони навколишнього природного середовища м. Дніпра;</w:t>
      </w:r>
    </w:p>
    <w:p w:rsidR="00897C4E" w:rsidRPr="007356E1" w:rsidRDefault="00897C4E" w:rsidP="00897C4E">
      <w:pPr>
        <w:keepLines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>Питна вода м. Дніпра;</w:t>
      </w:r>
    </w:p>
    <w:p w:rsidR="00897C4E" w:rsidRPr="007356E1" w:rsidRDefault="00897C4E" w:rsidP="00897C4E">
      <w:pPr>
        <w:keepLines/>
        <w:numPr>
          <w:ilvl w:val="0"/>
          <w:numId w:val="2"/>
        </w:numPr>
        <w:spacing w:line="240" w:lineRule="auto"/>
        <w:contextualSpacing/>
        <w:rPr>
          <w:rStyle w:val="a5"/>
          <w:rFonts w:ascii="Times New Roman" w:hAnsi="Times New Roman" w:cs="Times New Roman"/>
          <w:b w:val="0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Стратегія </w:t>
      </w:r>
      <w:r w:rsidRPr="007356E1">
        <w:rPr>
          <w:rStyle w:val="a5"/>
          <w:rFonts w:ascii="Times New Roman" w:hAnsi="Times New Roman" w:cs="Times New Roman"/>
          <w:b w:val="0"/>
          <w:sz w:val="24"/>
          <w:szCs w:val="24"/>
          <w:lang w:val="uk-UA"/>
        </w:rPr>
        <w:t xml:space="preserve">поводження з твердими побутовими відходами (у рамках реалізації обласної комплексної програми (стратегії) екологічної безпеки та запобігання змінам клімату; </w:t>
      </w:r>
    </w:p>
    <w:p w:rsidR="00897C4E" w:rsidRPr="007356E1" w:rsidRDefault="00897C4E" w:rsidP="00897C4E">
      <w:pPr>
        <w:keepLines/>
        <w:numPr>
          <w:ilvl w:val="0"/>
          <w:numId w:val="2"/>
        </w:numPr>
        <w:spacing w:line="240" w:lineRule="auto"/>
        <w:contextualSpacing/>
        <w:rPr>
          <w:rStyle w:val="a5"/>
          <w:rFonts w:ascii="Times New Roman" w:hAnsi="Times New Roman" w:cs="Times New Roman"/>
          <w:b w:val="0"/>
          <w:bCs/>
          <w:sz w:val="24"/>
          <w:szCs w:val="24"/>
          <w:lang w:val="uk-UA"/>
        </w:rPr>
      </w:pPr>
      <w:r w:rsidRPr="007356E1">
        <w:rPr>
          <w:rStyle w:val="a5"/>
          <w:rFonts w:ascii="Times New Roman" w:hAnsi="Times New Roman" w:cs="Times New Roman"/>
          <w:b w:val="0"/>
          <w:sz w:val="24"/>
          <w:szCs w:val="24"/>
          <w:lang w:val="uk-UA"/>
        </w:rPr>
        <w:t>Екологічний паспорт м. Дніпра – 2016 р</w:t>
      </w:r>
      <w:r w:rsidR="002F0592" w:rsidRPr="007356E1">
        <w:rPr>
          <w:rStyle w:val="a5"/>
          <w:rFonts w:ascii="Times New Roman" w:hAnsi="Times New Roman" w:cs="Times New Roman"/>
          <w:b w:val="0"/>
          <w:sz w:val="24"/>
          <w:szCs w:val="24"/>
          <w:lang w:val="uk-UA"/>
        </w:rPr>
        <w:t>.</w:t>
      </w:r>
      <w:r w:rsidRPr="007356E1">
        <w:rPr>
          <w:rStyle w:val="a5"/>
          <w:rFonts w:ascii="Times New Roman" w:hAnsi="Times New Roman" w:cs="Times New Roman"/>
          <w:b w:val="0"/>
          <w:sz w:val="24"/>
          <w:szCs w:val="24"/>
          <w:lang w:val="uk-UA"/>
        </w:rPr>
        <w:t>;</w:t>
      </w:r>
    </w:p>
    <w:p w:rsidR="00897C4E" w:rsidRPr="007356E1" w:rsidRDefault="00897C4E" w:rsidP="00897C4E">
      <w:pPr>
        <w:keepLines/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Style w:val="a5"/>
          <w:rFonts w:ascii="Times New Roman" w:hAnsi="Times New Roman" w:cs="Times New Roman"/>
          <w:b w:val="0"/>
          <w:sz w:val="24"/>
          <w:szCs w:val="24"/>
          <w:lang w:val="uk-UA"/>
        </w:rPr>
        <w:t xml:space="preserve">Регіональна доповідь про стан 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охорони навколишнього природного середовища в Дніпропетровській області;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b/>
          <w:sz w:val="24"/>
          <w:szCs w:val="24"/>
          <w:lang w:val="uk-UA"/>
        </w:rPr>
        <w:t>Те, якою мірою документ державного планування визначає умови для реалізації видів діяльності або об’єктів, щодо яких законодавством передбачено здійснення процедури оцінки впливу на довкілля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 xml:space="preserve">Розроблення детального плану передбачає формування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них рішень відповідно Завдання на розроблення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у.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ні рішення охоплюють усі види діяльності, які провадяться або провадження яких заплановане в перспективі на території в межах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ування. Детальний план визначає планувальну структуру та потужність об’єктів що пропонуються до розташовування, згідно з функціональним призначенням території визначеним генеральним планом міста.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 обґрунтовує потужність об’єктів комунально-побутового обслуговування, можливого розташування дошкільних та шкільних закладів, зон відпочинку, та інше що виникає на підставі аналізу техніко-економічних показників існуючого використання території, демографічного прогнозу, та потреб територіального розвитку населеного пункту визначеного генеральним планом.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ні рішення архітектурно-планувальної організації та потреби територіального розвитку міста обумовлюються в тому числі Завданням на розроблення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у, державними інтересами. Одночасно детальний план не змінює існуюче функціональне використання окремих земельних ділянок та їх категорій, а лише створює умови для наступної такої зміни на підставі Плану зонування території та Законів України.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 xml:space="preserve">Таким чином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 визначає територіальні (просторові) умови для реалізації видів діяльності або об’єктів, щодо яких законодавством передбачено здійснення процедури оцінки впливу на довкілля, в частині дотримання планувальних обмежень (санітарно-захисних зон, охоронних зон, природоохоронних зон), а також в частині дотримання режимів господарської діяльності в їх межах, які визначені законодавством України та низкою нормативно-правових актів у сфері забезпечення норм санітарної гігієни та охорони навколишнього природного середовища на території населених пунктів. 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Головними екологічними проблеми, що мають відношення до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у є: утворення та поводження з твердими побутовими відходами; використання природних рослинних ресурсів та розвиток зеленого господарства міста; забруднення атмосферного повітря в зоні впливу магістральних вулиць; наявність порушених ділянок, в тому числі, що зазнали техногенного впливу в наслідок господарської діяльності.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 xml:space="preserve">Цілями охорони довкілля, у тому числі здоров’я населення, при реалізації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них рішень є: зменшення техногенного навантаження на геологічне та ґрунтове середовище; забезпечення сприятливих умов для життя та відпочинку населення; зменшення забруднення атмосферного повітря в зоні впливу магістральних вулиць; створення передумов більш ефективного господарського використання земельних ресурсів населеного пункту.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 сфери охоплення стратегічної екологічної оцінки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у відноситься оцінка наслідків для довкілля, у тому числі для здоров’я населення, від реалізації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них рішень.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 xml:space="preserve">Стратегічна екологічна оцінка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у детального плану здійснюється для території що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ується, яка визначається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ними межами детального плану.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>Для досягнення цілей стратегічної екологічної оцінки будуть зібрані та використані наступні вихідні дані: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>1. Регіональна доповідь про стан навколишнього природного середовища у Дніпропетровській області (частина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 яка стосується територій що межують з територіями детального плану);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>2. Статистичний щорічник Дніпропетровської області;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  <w:t xml:space="preserve">3. Законодавчі акти, які мають відношення до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у детального плану;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>4. Статистичний щорічник міста Дніпр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C4E" w:rsidRPr="007356E1" w:rsidRDefault="00897C4E" w:rsidP="00897C4E">
      <w:pPr>
        <w:keepLines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>Закон України «Про регулювання містобудівної діяльності» від 17.02.2011 р. №3038-VІ із змінами;</w:t>
      </w:r>
    </w:p>
    <w:p w:rsidR="00897C4E" w:rsidRPr="007356E1" w:rsidRDefault="00897C4E" w:rsidP="00897C4E">
      <w:pPr>
        <w:keepLines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>Закон України «Про внесення змін до статті 8 Закону України «Про автомобільні дороги» щодо класифікації автомобільних доріг загального користування» від 20.12. 2011 р. № 4203-VІ;</w:t>
      </w:r>
    </w:p>
    <w:p w:rsidR="00897C4E" w:rsidRPr="007356E1" w:rsidRDefault="00897C4E" w:rsidP="00897C4E">
      <w:pPr>
        <w:keepLines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>Закон України «Про Концепцію сталого розвитку населених пунктів» від 28.12.1998 р. №2349;</w:t>
      </w:r>
    </w:p>
    <w:p w:rsidR="00897C4E" w:rsidRPr="007356E1" w:rsidRDefault="00897C4E" w:rsidP="00897C4E">
      <w:pPr>
        <w:keepLines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>Земельний кодекс України від 25.10.2001 р. № 2768-ІІІ (із змінами);</w:t>
      </w:r>
    </w:p>
    <w:p w:rsidR="00897C4E" w:rsidRPr="007356E1" w:rsidRDefault="00897C4E" w:rsidP="00897C4E">
      <w:pPr>
        <w:keepLines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>Закон України "Про охорону атмосферного повітря";</w:t>
      </w:r>
    </w:p>
    <w:p w:rsidR="00897C4E" w:rsidRPr="007356E1" w:rsidRDefault="00897C4E" w:rsidP="00897C4E">
      <w:pPr>
        <w:keepLines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>Закон України "Про відходи";</w:t>
      </w:r>
    </w:p>
    <w:p w:rsidR="00897C4E" w:rsidRPr="007356E1" w:rsidRDefault="00897C4E" w:rsidP="00897C4E">
      <w:pPr>
        <w:keepLines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>Закон України "Про екологічну мережу України";</w:t>
      </w:r>
    </w:p>
    <w:p w:rsidR="00897C4E" w:rsidRPr="007356E1" w:rsidRDefault="00897C4E" w:rsidP="00897C4E">
      <w:pPr>
        <w:keepLines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>Закон України "Про забезпечення санітарного та епідемічного благополуччя населення";</w:t>
      </w:r>
    </w:p>
    <w:p w:rsidR="00897C4E" w:rsidRPr="007356E1" w:rsidRDefault="00897C4E" w:rsidP="00897C4E">
      <w:pPr>
        <w:keepLines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>низка інших законодавчих та підзаконних актів в сфері охорони довкілля, розміщення та експлуатації об’єктів та мереж інженерної та транспортної інфраструктури.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>5. Дані моніторингу стану довкілля, що здійснюється існуючими державними суб’єктами моніторингу довкілля на регіональному та місцевому рівні.</w:t>
      </w:r>
    </w:p>
    <w:p w:rsidR="002F0592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            6. Матеріали Генерального плану міста.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>7. Інші доступні джерела інформації.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b/>
          <w:sz w:val="24"/>
          <w:szCs w:val="24"/>
          <w:lang w:val="uk-UA"/>
        </w:rPr>
        <w:t>Ймовірні наслідки: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 xml:space="preserve">1. </w:t>
      </w:r>
      <w:r w:rsidRPr="007356E1">
        <w:rPr>
          <w:rFonts w:ascii="Times New Roman" w:hAnsi="Times New Roman" w:cs="Times New Roman"/>
          <w:sz w:val="24"/>
          <w:szCs w:val="24"/>
          <w:u w:val="single"/>
          <w:lang w:val="uk-UA"/>
        </w:rPr>
        <w:t>Для довкілля, у тому числі для здоров’я населення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Детальний план є комплексним документом,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ні рішення якого в різній мірі та формі можуть впливати на стан довкілля та здоров’я населення.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 xml:space="preserve">Реалізація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них рішень може мати ймовірні наслідки для таких складових навколишнього природного середовища, як ґрунти, ландшафт, повітря, поверхневі води, об’єкти природно-заповідного фонду.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Виконання стратегічної екологічної оцінки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у детального плану передбачає аналіз та оцінку ймовірних наслідків та ризиків реалізації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них рішень як на окремі компоненти довкілля (ґрунти, поверхневі та підземні водні ресурси, повітря, рослинний і тваринний світ), так і на комплексні умови території, а також на здоров’я населення.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 xml:space="preserve">2. </w:t>
      </w:r>
      <w:r w:rsidRPr="007356E1">
        <w:rPr>
          <w:rFonts w:ascii="Times New Roman" w:hAnsi="Times New Roman" w:cs="Times New Roman"/>
          <w:sz w:val="24"/>
          <w:szCs w:val="24"/>
          <w:u w:val="single"/>
          <w:lang w:val="uk-UA"/>
        </w:rPr>
        <w:t>Для територій з природоохоронним статусом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 території що розглядається відсутні об’єкти природно-заповідного фонду. Також дана територія не межує з територіями природно-заповідного фонду. 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 рамках проведення стратегічної екологічної оцінки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у буде виконано оцінку відповідності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них рішень вимогам чинного законодавства стосовно забезпечення дотримання режиму господарського використання природоохоронних територій, визначених «Схемою формування екологічної мережі Дніпропетровської області» (при наявності такої мережі у зоні впливу детального плану). 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 xml:space="preserve">3. </w:t>
      </w:r>
      <w:r w:rsidRPr="007356E1">
        <w:rPr>
          <w:rFonts w:ascii="Times New Roman" w:hAnsi="Times New Roman" w:cs="Times New Roman"/>
          <w:sz w:val="24"/>
          <w:szCs w:val="24"/>
          <w:u w:val="single"/>
          <w:lang w:val="uk-UA"/>
        </w:rPr>
        <w:t>Транскордонні наслідки для довкілля, у тому числі для здоров’я населення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Зважаючи на положення території для якої розробляється детальний план транскордонні наслідки реалізації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них рішень для довкілля, у тому числі здоров’я населення, не очікуються.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b/>
          <w:sz w:val="24"/>
          <w:szCs w:val="24"/>
          <w:lang w:val="uk-UA"/>
        </w:rPr>
        <w:t>Виправдані альтернативи, які необхідно розглянути, у тому числі якщо детальний план не буде затверджено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Зважаючи на комплексність рішень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у, що обумовлюється необхідністю розвитку житлової, громадської забудови, транспортної мережі, головних споруд та мереж інженерної інфраструктури району, розгляд виправданих альтернатив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них рішень відбувається в процесі розробки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у, що передбачено методологією розробки містобудівної документації.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  <w:t xml:space="preserve">Загальною альтернативою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у детального плану рішення про розроблення якого прийнято, є його незатвердження. Такий сценарій також буде розглянуто в рамках стратегічної екологічної оцінки.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b/>
          <w:sz w:val="24"/>
          <w:szCs w:val="24"/>
          <w:lang w:val="uk-UA"/>
        </w:rPr>
        <w:t>Дослідження, які необхідно провести, методи і критерії, що використовуватимуться під час стратегічної екологічної оцінки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Предметом стратегічної екологічної оцінки є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ні рішення детального плану, їх потенційний вплив на стан довкілля та здоров’я населення.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 огляду на стратегічний характер такого виду документації як детальний план території ключове значення у виконанні стратегічної екологічної оцінки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у такого документу мають методи стратегічного аналізу. Насамперед, буде застосований аналіз контексту стратегічного планування, що передбачає встановлення зв’язків з іншими документами державного планування та дослідження нормативно-правових умов реалізації рішень детального плану. 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>Застосування цільового аналізу при проведенні стратегічної екологічної оцінки дозволить встановити відповідність рішень детального плану території загальним цілям охорони довкілля та забезпечення безпечного для здоров’я населення середовища проживання.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Оцінка кумулятивних ефектів дозволить оцінити як сукупний вплив кількох об’єктів, так і накладений вплив минулих, поточних, а також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них чинників. 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Комплекс методів проведення стратегічної екологічної оцінки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у може бути розширений та поглиблений в залежності від методологічного досвіду розробників стратегічної екологічної оцінки.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b/>
          <w:sz w:val="24"/>
          <w:szCs w:val="24"/>
          <w:lang w:val="uk-UA"/>
        </w:rPr>
        <w:t>Заходи, які передбачається розглянути для запобігання, зменшення та пом’якшення негативних наслідків виконання документа державного планування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 xml:space="preserve">У ході виконання стратегічної екологічної оцінки передбачається розглянути доцільність запровадження заходів із запобігання, зменшення та пом’якшення можливих негативних наслідків реалізації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них рішень на довкілля та стан здоров’я населення, які мають успішні приклади впровадження в інших містах України, у першу чергу щодо:</w:t>
      </w:r>
    </w:p>
    <w:p w:rsidR="00897C4E" w:rsidRPr="007356E1" w:rsidRDefault="00897C4E" w:rsidP="00897C4E">
      <w:pPr>
        <w:keepLines/>
        <w:numPr>
          <w:ilvl w:val="0"/>
          <w:numId w:val="3"/>
        </w:num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оптимізації 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функціонально-планувальної </w:t>
      </w:r>
      <w:r w:rsidRPr="007356E1">
        <w:rPr>
          <w:rFonts w:ascii="Times New Roman" w:hAnsi="Times New Roman" w:cs="Times New Roman"/>
          <w:bCs/>
          <w:sz w:val="24"/>
          <w:szCs w:val="24"/>
          <w:lang w:val="uk-UA"/>
        </w:rPr>
        <w:t>організації комунальних територій та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їх санітарно-гігієнічної сумісності з житловою та громадською забудовою, дотримання нормативних санітарно-захисних зон та відстаней від комунальних, транспортних та інших об’єктів, що є джерелами забруднення навколишнього середовища;</w:t>
      </w:r>
    </w:p>
    <w:p w:rsidR="00897C4E" w:rsidRPr="007356E1" w:rsidRDefault="00897C4E" w:rsidP="00897C4E">
      <w:pPr>
        <w:keepLines/>
        <w:numPr>
          <w:ilvl w:val="0"/>
          <w:numId w:val="3"/>
        </w:num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>вдосконалення та подальшого розвитку транспортної мережі міста з урахуванням необхідності забезпечення протишумового захисту та дотримання нормативних санітарних розривів</w:t>
      </w:r>
      <w:r w:rsidRPr="007356E1">
        <w:rPr>
          <w:rFonts w:ascii="Times New Roman" w:hAnsi="Times New Roman" w:cs="Times New Roman"/>
          <w:bCs/>
          <w:iCs/>
          <w:sz w:val="24"/>
          <w:szCs w:val="24"/>
          <w:lang w:val="uk-UA"/>
        </w:rPr>
        <w:t>;</w:t>
      </w:r>
    </w:p>
    <w:p w:rsidR="00897C4E" w:rsidRPr="007356E1" w:rsidRDefault="00897C4E" w:rsidP="00897C4E">
      <w:pPr>
        <w:keepLines/>
        <w:numPr>
          <w:ilvl w:val="0"/>
          <w:numId w:val="3"/>
        </w:num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можливість розширення мережі зелених насаджень спеціального призначення; </w:t>
      </w:r>
    </w:p>
    <w:p w:rsidR="00897C4E" w:rsidRPr="007356E1" w:rsidRDefault="00897C4E" w:rsidP="00897C4E">
      <w:pPr>
        <w:keepLines/>
        <w:numPr>
          <w:ilvl w:val="0"/>
          <w:numId w:val="3"/>
        </w:num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>пропозиції щодо налагодження ефективної системи санітарного очищення території кварталу;</w:t>
      </w:r>
    </w:p>
    <w:p w:rsidR="00897C4E" w:rsidRPr="007356E1" w:rsidRDefault="00897C4E" w:rsidP="00897C4E">
      <w:pPr>
        <w:keepLines/>
        <w:numPr>
          <w:ilvl w:val="0"/>
          <w:numId w:val="3"/>
        </w:num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>проведення реконструкції споруд та мереж комунальних систем тепло-, електропостачання, водопостачання, водовідведення шляхом впровадження новітніх енергоефективних технологій.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>Окрім того, повинні бути враховані затверджені заходи, визначені законодавством та нормативно-правовими актами, щодо запобігання, зменшення та пом’якшення загальних негативних впливів на довкілля та стан здоров’я населення.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b/>
          <w:sz w:val="24"/>
          <w:szCs w:val="24"/>
          <w:lang w:val="uk-UA"/>
        </w:rPr>
        <w:t>Пропозиції щодо структури та змісту звіту про стратегічну екологічну оцінку.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>Структура звіту про стратегічну екологічну оцінку визначається статтею 11 Закону України “Про стратегічну екологічну оцінку” і складається з наступних розділів:</w:t>
      </w:r>
    </w:p>
    <w:p w:rsidR="00897C4E" w:rsidRPr="007356E1" w:rsidRDefault="00897C4E" w:rsidP="00897C4E">
      <w:pPr>
        <w:keepLines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Зміст та основні цілі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у «</w:t>
      </w:r>
      <w:r w:rsidRPr="007356E1">
        <w:rPr>
          <w:rFonts w:ascii="Times New Roman" w:hAnsi="Times New Roman" w:cs="Times New Roman"/>
          <w:sz w:val="24"/>
          <w:szCs w:val="24"/>
          <w:lang w:val="uk-UA" w:eastAsia="uk-UA"/>
        </w:rPr>
        <w:t>Детальний план територіїкварталу, обмежено</w:t>
      </w:r>
      <w:r w:rsidR="002F0592" w:rsidRPr="007356E1">
        <w:rPr>
          <w:rFonts w:ascii="Times New Roman" w:hAnsi="Times New Roman" w:cs="Times New Roman"/>
          <w:sz w:val="24"/>
          <w:szCs w:val="24"/>
          <w:lang w:val="uk-UA" w:eastAsia="uk-UA"/>
        </w:rPr>
        <w:t>го</w:t>
      </w:r>
      <w:r w:rsidR="00AB1FEB" w:rsidRPr="007356E1">
        <w:rPr>
          <w:rFonts w:ascii="Times New Roman" w:hAnsi="Times New Roman" w:cs="Times New Roman"/>
          <w:sz w:val="24"/>
          <w:szCs w:val="24"/>
          <w:lang w:val="uk-UA" w:eastAsia="uk-UA"/>
        </w:rPr>
        <w:t>вулицями Паторжинського, Олеся Гончара, Чернишевського та Василя Жуковського</w:t>
      </w:r>
      <w:r w:rsidR="002F0592" w:rsidRPr="007356E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(Соборний район)</w:t>
      </w:r>
      <w:r w:rsidRPr="007356E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міста Дніпра»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, його зв’язок з іншими документами державного планування;</w:t>
      </w:r>
    </w:p>
    <w:p w:rsidR="00897C4E" w:rsidRPr="007356E1" w:rsidRDefault="00897C4E" w:rsidP="00897C4E">
      <w:pPr>
        <w:keepLines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>Характеристика поточного стану довкілля, у тому числі здоров’я населення, та прогнозні зміни цього стану;</w:t>
      </w:r>
    </w:p>
    <w:p w:rsidR="00897C4E" w:rsidRPr="007356E1" w:rsidRDefault="00897C4E" w:rsidP="00897C4E">
      <w:pPr>
        <w:keepLines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>Характеристика стану довкілля, умов життєдіяльності населення та стану його здоров’я на територіях, які ймовірно зазнають впливу;</w:t>
      </w:r>
    </w:p>
    <w:p w:rsidR="00897C4E" w:rsidRPr="007356E1" w:rsidRDefault="00897C4E" w:rsidP="00897C4E">
      <w:pPr>
        <w:keepLines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Екологічні проблеми, у тому числі загальні ризики впливу на здоров’я населення, які стосуються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у «</w:t>
      </w:r>
      <w:r w:rsidRPr="007356E1">
        <w:rPr>
          <w:rFonts w:ascii="Times New Roman" w:hAnsi="Times New Roman" w:cs="Times New Roman"/>
          <w:sz w:val="24"/>
          <w:szCs w:val="24"/>
          <w:lang w:val="uk-UA" w:eastAsia="uk-UA"/>
        </w:rPr>
        <w:t>Детальний план територіїкварталу, обмежено</w:t>
      </w:r>
      <w:r w:rsidR="002F0592" w:rsidRPr="007356E1">
        <w:rPr>
          <w:rFonts w:ascii="Times New Roman" w:hAnsi="Times New Roman" w:cs="Times New Roman"/>
          <w:sz w:val="24"/>
          <w:szCs w:val="24"/>
          <w:lang w:val="uk-UA" w:eastAsia="uk-UA"/>
        </w:rPr>
        <w:t>го</w:t>
      </w:r>
      <w:r w:rsidR="00AB1FEB" w:rsidRPr="007356E1">
        <w:rPr>
          <w:rFonts w:ascii="Times New Roman" w:hAnsi="Times New Roman" w:cs="Times New Roman"/>
          <w:sz w:val="24"/>
          <w:szCs w:val="24"/>
          <w:lang w:val="uk-UA" w:eastAsia="uk-UA"/>
        </w:rPr>
        <w:t>вулицями Паторжинського, Олеся Гончара, Чернишевського та Василя Жуковського</w:t>
      </w:r>
      <w:r w:rsidR="002F0592" w:rsidRPr="007356E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(Соборний район)</w:t>
      </w:r>
      <w:r w:rsidRPr="007356E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міста Дніпра»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C4E" w:rsidRPr="007356E1" w:rsidRDefault="00897C4E" w:rsidP="00897C4E">
      <w:pPr>
        <w:keepLines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Зобов’язання/вимоги у сфері охорони довкілля, у тому числі пов’язані із запобіганням негативному впливу на здоров’я населення, встановлені на державному та інших рівнях, що стосуються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у «</w:t>
      </w:r>
      <w:r w:rsidRPr="007356E1">
        <w:rPr>
          <w:rFonts w:ascii="Times New Roman" w:hAnsi="Times New Roman" w:cs="Times New Roman"/>
          <w:sz w:val="24"/>
          <w:szCs w:val="24"/>
          <w:lang w:val="uk-UA" w:eastAsia="uk-UA"/>
        </w:rPr>
        <w:t>Детальний план територіїкварталу, обмежено</w:t>
      </w:r>
      <w:r w:rsidR="002F0592" w:rsidRPr="007356E1">
        <w:rPr>
          <w:rFonts w:ascii="Times New Roman" w:hAnsi="Times New Roman" w:cs="Times New Roman"/>
          <w:sz w:val="24"/>
          <w:szCs w:val="24"/>
          <w:lang w:val="uk-UA" w:eastAsia="uk-UA"/>
        </w:rPr>
        <w:t>го</w:t>
      </w:r>
      <w:r w:rsidR="00AB1FEB" w:rsidRPr="007356E1">
        <w:rPr>
          <w:rFonts w:ascii="Times New Roman" w:hAnsi="Times New Roman" w:cs="Times New Roman"/>
          <w:sz w:val="24"/>
          <w:szCs w:val="24"/>
          <w:lang w:val="uk-UA" w:eastAsia="uk-UA"/>
        </w:rPr>
        <w:t>вулицями Паторжинського, Олеся Гончара, Чернишевського та Василя Жуковського</w:t>
      </w:r>
      <w:r w:rsidR="002F0592" w:rsidRPr="007356E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(Соборний район)</w:t>
      </w:r>
      <w:r w:rsidRPr="007356E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міста Дніпра»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, а також шляхи врахування таких зобов’язань/вимог під час підготовки документа державного планування;</w:t>
      </w:r>
    </w:p>
    <w:p w:rsidR="00897C4E" w:rsidRPr="007356E1" w:rsidRDefault="00897C4E" w:rsidP="00897C4E">
      <w:pPr>
        <w:keepLines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>Опис наслідків для довкілля, у тому числі для здоров’я населення;</w:t>
      </w:r>
    </w:p>
    <w:p w:rsidR="00897C4E" w:rsidRPr="007356E1" w:rsidRDefault="00897C4E" w:rsidP="00897C4E">
      <w:pPr>
        <w:keepLines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Заходи, що передбачається вжити для запобігання, зменшення та пом’якшення негативних наслідків виконання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у «</w:t>
      </w:r>
      <w:r w:rsidRPr="007356E1">
        <w:rPr>
          <w:rFonts w:ascii="Times New Roman" w:hAnsi="Times New Roman" w:cs="Times New Roman"/>
          <w:sz w:val="24"/>
          <w:szCs w:val="24"/>
          <w:lang w:val="uk-UA" w:eastAsia="uk-UA"/>
        </w:rPr>
        <w:t>Детальний план територіїкварталу, обмежено</w:t>
      </w:r>
      <w:r w:rsidR="002F0592" w:rsidRPr="007356E1">
        <w:rPr>
          <w:rFonts w:ascii="Times New Roman" w:hAnsi="Times New Roman" w:cs="Times New Roman"/>
          <w:sz w:val="24"/>
          <w:szCs w:val="24"/>
          <w:lang w:val="uk-UA" w:eastAsia="uk-UA"/>
        </w:rPr>
        <w:t>го</w:t>
      </w:r>
      <w:r w:rsidR="00AB1FEB" w:rsidRPr="007356E1">
        <w:rPr>
          <w:rFonts w:ascii="Times New Roman" w:hAnsi="Times New Roman" w:cs="Times New Roman"/>
          <w:sz w:val="24"/>
          <w:szCs w:val="24"/>
          <w:lang w:val="uk-UA" w:eastAsia="uk-UA"/>
        </w:rPr>
        <w:t>вулицями Паторжинського, Олеся Гончара, Чернишевського та Василя Жуковського</w:t>
      </w:r>
      <w:r w:rsidR="002F0592" w:rsidRPr="007356E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(Соборний район)</w:t>
      </w:r>
      <w:r w:rsidRPr="007356E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міста Дніпра»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97C4E" w:rsidRPr="007356E1" w:rsidRDefault="00897C4E" w:rsidP="00897C4E">
      <w:pPr>
        <w:keepLines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>Обґрунтування вибору виправданих альтернатив, що розглядалися, опис способу, в який здійснювалася стратегічна екологічна оцінка, у тому числі будь-які ускладнення;</w:t>
      </w:r>
    </w:p>
    <w:p w:rsidR="00897C4E" w:rsidRPr="007356E1" w:rsidRDefault="00897C4E" w:rsidP="00897C4E">
      <w:pPr>
        <w:keepLines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Заходи, передбачені для здійснення моніторингу наслідків виконання </w:t>
      </w:r>
      <w:r w:rsidR="007356E1" w:rsidRPr="007356E1">
        <w:rPr>
          <w:rFonts w:ascii="Times New Roman" w:hAnsi="Times New Roman" w:cs="Times New Roman"/>
          <w:sz w:val="24"/>
          <w:szCs w:val="24"/>
          <w:lang w:val="uk-UA"/>
        </w:rPr>
        <w:t>проєкту «</w:t>
      </w:r>
      <w:r w:rsidR="007356E1" w:rsidRPr="007356E1">
        <w:rPr>
          <w:rFonts w:ascii="Times New Roman" w:hAnsi="Times New Roman" w:cs="Times New Roman"/>
          <w:sz w:val="24"/>
          <w:szCs w:val="24"/>
          <w:lang w:val="uk-UA" w:eastAsia="uk-UA"/>
        </w:rPr>
        <w:t>Детальний план територіїкварталу, обмеженого вулицями Паторжинського, Олеся Гончара, Чернишевського та Василя Жуковського (Соборний район) міста Дніпра»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 для довкілля, у тому числі для здоров’я населення;</w:t>
      </w:r>
    </w:p>
    <w:p w:rsidR="00897C4E" w:rsidRPr="007356E1" w:rsidRDefault="00897C4E" w:rsidP="00897C4E">
      <w:pPr>
        <w:keepLines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Розраховане на широку аудиторію резюме нетехнічного характеру звіту про стратегічну екологічну оцінку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у «</w:t>
      </w:r>
      <w:r w:rsidRPr="007356E1">
        <w:rPr>
          <w:rFonts w:ascii="Times New Roman" w:hAnsi="Times New Roman" w:cs="Times New Roman"/>
          <w:sz w:val="24"/>
          <w:szCs w:val="24"/>
          <w:lang w:val="uk-UA" w:eastAsia="uk-UA"/>
        </w:rPr>
        <w:t>Детальний план територіїкварталу, обмежено</w:t>
      </w:r>
      <w:r w:rsidR="002F0592" w:rsidRPr="007356E1">
        <w:rPr>
          <w:rFonts w:ascii="Times New Roman" w:hAnsi="Times New Roman" w:cs="Times New Roman"/>
          <w:sz w:val="24"/>
          <w:szCs w:val="24"/>
          <w:lang w:val="uk-UA" w:eastAsia="uk-UA"/>
        </w:rPr>
        <w:t>го</w:t>
      </w:r>
      <w:r w:rsidR="00AB1FEB" w:rsidRPr="007356E1">
        <w:rPr>
          <w:rFonts w:ascii="Times New Roman" w:hAnsi="Times New Roman" w:cs="Times New Roman"/>
          <w:sz w:val="24"/>
          <w:szCs w:val="24"/>
          <w:lang w:val="uk-UA" w:eastAsia="uk-UA"/>
        </w:rPr>
        <w:t>вулицями Паторжинського, Олеся Гончара, Чернишевського та Василя Жуковського</w:t>
      </w:r>
      <w:r w:rsidR="002F0592" w:rsidRPr="007356E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(Соборний район)</w:t>
      </w:r>
      <w:r w:rsidRPr="007356E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міста Дніпра»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. Зміст звіту про стратегічну екологічну оцінку визначається змістом та характером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них рішень з урахуванням сучасних знань і методів оцінювання.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  <w:t xml:space="preserve">Розділ «Охорона навколишнього природного середовища» в обсязі звіту про стратегічну екологічну оцінку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 xml:space="preserve">у є невід’ємною складовою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у «</w:t>
      </w:r>
      <w:r w:rsidRPr="007356E1">
        <w:rPr>
          <w:rFonts w:ascii="Times New Roman" w:hAnsi="Times New Roman" w:cs="Times New Roman"/>
          <w:sz w:val="24"/>
          <w:szCs w:val="24"/>
          <w:lang w:val="uk-UA" w:eastAsia="uk-UA"/>
        </w:rPr>
        <w:t>Детальний план територіїкварталу, обмежено</w:t>
      </w:r>
      <w:r w:rsidR="002F0592" w:rsidRPr="007356E1">
        <w:rPr>
          <w:rFonts w:ascii="Times New Roman" w:hAnsi="Times New Roman" w:cs="Times New Roman"/>
          <w:sz w:val="24"/>
          <w:szCs w:val="24"/>
          <w:lang w:val="uk-UA" w:eastAsia="uk-UA"/>
        </w:rPr>
        <w:t>го</w:t>
      </w:r>
      <w:r w:rsidR="00AB1FEB" w:rsidRPr="007356E1">
        <w:rPr>
          <w:rFonts w:ascii="Times New Roman" w:hAnsi="Times New Roman" w:cs="Times New Roman"/>
          <w:sz w:val="24"/>
          <w:szCs w:val="24"/>
          <w:lang w:val="uk-UA" w:eastAsia="uk-UA"/>
        </w:rPr>
        <w:t>вулицями Паторжинського, Олеся Гончара, Чернишевського та Василя Жуковського</w:t>
      </w:r>
      <w:r w:rsidR="002F0592" w:rsidRPr="007356E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(Соборний район)</w:t>
      </w:r>
      <w:r w:rsidRPr="007356E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міста Дніпра».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 w:eastAsia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56E1">
        <w:rPr>
          <w:rFonts w:ascii="Times New Roman" w:hAnsi="Times New Roman" w:cs="Times New Roman"/>
          <w:i/>
          <w:sz w:val="24"/>
          <w:szCs w:val="24"/>
          <w:lang w:val="uk-UA" w:eastAsia="uk-UA"/>
        </w:rPr>
        <w:t>Обласні та міські  органи виконавчої влади, що реалізують державну політику у сфері охорони навколишнього природного середовища та реалізують державну політику у сфері охорони здоров’я (відповідні підрозділи з питань охорони навколишнього природного середовища та з питань охорони здоров’я), у межах своєї компетенції надають у письмовій формі свої зауваження і пропозиції до заяви про визначення обсягу стратегічної екологічної оцінки у строк, що не перевищує 15 днів з дня отримання такої заяви. За відсутності письмових зауважень і пропозицій протягом зазначеного строку замовник самостійно визначає обсяг досліджень та рівень деталізації інформації, що має бути включена до звіту про стратегічну екологічну оцінку.</w:t>
      </w:r>
    </w:p>
    <w:p w:rsidR="00897C4E" w:rsidRPr="007356E1" w:rsidRDefault="00897C4E" w:rsidP="00897C4E">
      <w:pPr>
        <w:keepLines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b/>
          <w:sz w:val="24"/>
          <w:szCs w:val="24"/>
          <w:lang w:val="uk-UA"/>
        </w:rPr>
        <w:t>Орган, до якого подаються зауваження і пропозиції, та строки їх подання</w:t>
      </w:r>
    </w:p>
    <w:p w:rsidR="00897C4E" w:rsidRPr="007356E1" w:rsidRDefault="00897C4E" w:rsidP="00897C4E">
      <w:pPr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  <w:t xml:space="preserve">Зауваження і пропозиції до Заяви про визначення обсягу стратегічної екологічної оцінки </w:t>
      </w:r>
      <w:r w:rsidR="002F0592" w:rsidRPr="007356E1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у «</w:t>
      </w:r>
      <w:r w:rsidRPr="007356E1">
        <w:rPr>
          <w:rFonts w:ascii="Times New Roman" w:hAnsi="Times New Roman" w:cs="Times New Roman"/>
          <w:sz w:val="24"/>
          <w:szCs w:val="24"/>
          <w:lang w:val="uk-UA" w:eastAsia="uk-UA"/>
        </w:rPr>
        <w:t>Детальний план територіїкварталу, обмежено</w:t>
      </w:r>
      <w:r w:rsidR="002F0592" w:rsidRPr="007356E1">
        <w:rPr>
          <w:rFonts w:ascii="Times New Roman" w:hAnsi="Times New Roman" w:cs="Times New Roman"/>
          <w:sz w:val="24"/>
          <w:szCs w:val="24"/>
          <w:lang w:val="uk-UA" w:eastAsia="uk-UA"/>
        </w:rPr>
        <w:t>го</w:t>
      </w:r>
      <w:r w:rsidR="00AB1FEB" w:rsidRPr="007356E1">
        <w:rPr>
          <w:rFonts w:ascii="Times New Roman" w:hAnsi="Times New Roman" w:cs="Times New Roman"/>
          <w:sz w:val="24"/>
          <w:szCs w:val="24"/>
          <w:lang w:val="uk-UA" w:eastAsia="uk-UA"/>
        </w:rPr>
        <w:t>вулицями Паторжинського, Олеся Гончара, Чернишевського та Василя Жуковського</w:t>
      </w:r>
      <w:r w:rsidR="002F0592" w:rsidRPr="007356E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(Соборний район)</w:t>
      </w:r>
      <w:r w:rsidRPr="007356E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міста Дніпра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» подаються до:</w:t>
      </w:r>
    </w:p>
    <w:p w:rsidR="00897C4E" w:rsidRPr="007356E1" w:rsidRDefault="00897C4E" w:rsidP="00897C4E">
      <w:pPr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356E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Департаменту по роботі з активами Дніпровської міської ради </w:t>
      </w:r>
    </w:p>
    <w:p w:rsidR="00897C4E" w:rsidRPr="007356E1" w:rsidRDefault="00897C4E" w:rsidP="00897C4E">
      <w:pPr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/>
        </w:rPr>
        <w:t>просп. Дмитра Яворницького, 75 А, м. Дніпро, 49000, тел. (056) 744 31 58, (056) 744 06 23;</w:t>
      </w:r>
    </w:p>
    <w:p w:rsidR="00897C4E" w:rsidRPr="007356E1" w:rsidRDefault="00897C4E" w:rsidP="00897C4E">
      <w:pPr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356E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Головне архітектурно-планувальне управління департаменту по роботі з активами Дніпровської міської ради  вул. Січеславська Набережна 29А, 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м. Дніпро, 49000</w:t>
      </w:r>
      <w:r w:rsidRPr="007356E1">
        <w:rPr>
          <w:rFonts w:ascii="Times New Roman" w:hAnsi="Times New Roman" w:cs="Times New Roman"/>
          <w:sz w:val="24"/>
          <w:szCs w:val="24"/>
          <w:lang w:val="uk-UA" w:eastAsia="ru-RU"/>
        </w:rPr>
        <w:t>,                        е-mail: </w:t>
      </w:r>
      <w:hyperlink r:id="rId7" w:history="1">
        <w:r w:rsidRPr="007356E1">
          <w:rPr>
            <w:rStyle w:val="a4"/>
            <w:rFonts w:ascii="Times New Roman" w:hAnsi="Times New Roman" w:cs="Times New Roman"/>
            <w:sz w:val="24"/>
            <w:szCs w:val="24"/>
            <w:lang w:val="uk-UA" w:eastAsia="ru-RU"/>
          </w:rPr>
          <w:t>аrchplan@dmr.dp.ua</w:t>
        </w:r>
      </w:hyperlink>
      <w:r w:rsidRPr="007356E1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), </w:t>
      </w:r>
      <w:r w:rsidRPr="007356E1">
        <w:rPr>
          <w:rFonts w:ascii="Times New Roman" w:hAnsi="Times New Roman" w:cs="Times New Roman"/>
          <w:sz w:val="24"/>
          <w:szCs w:val="24"/>
          <w:lang w:val="uk-UA" w:eastAsia="ru-RU"/>
        </w:rPr>
        <w:t>тел. (056) 745 25 29, факс. (056) 744 34 94</w:t>
      </w:r>
    </w:p>
    <w:p w:rsidR="00897C4E" w:rsidRPr="007356E1" w:rsidRDefault="00897C4E" w:rsidP="00897C4E">
      <w:pPr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356E1">
        <w:rPr>
          <w:rFonts w:ascii="Times New Roman" w:hAnsi="Times New Roman" w:cs="Times New Roman"/>
          <w:sz w:val="24"/>
          <w:szCs w:val="24"/>
          <w:lang w:val="uk-UA" w:eastAsia="ru-RU"/>
        </w:rPr>
        <w:t> </w:t>
      </w:r>
    </w:p>
    <w:p w:rsidR="00897C4E" w:rsidRPr="007356E1" w:rsidRDefault="00897C4E" w:rsidP="00897C4E">
      <w:pPr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i/>
          <w:sz w:val="24"/>
          <w:szCs w:val="24"/>
          <w:lang w:val="uk-UA" w:eastAsia="ru-RU"/>
        </w:rPr>
      </w:pPr>
      <w:r w:rsidRPr="007356E1">
        <w:rPr>
          <w:rFonts w:ascii="Times New Roman" w:hAnsi="Times New Roman" w:cs="Times New Roman"/>
          <w:b/>
          <w:i/>
          <w:sz w:val="24"/>
          <w:szCs w:val="24"/>
          <w:lang w:val="uk-UA" w:eastAsia="ru-RU"/>
        </w:rPr>
        <w:t>- Строки їх подання</w:t>
      </w:r>
      <w:r w:rsidRPr="007356E1">
        <w:rPr>
          <w:rFonts w:ascii="Times New Roman" w:hAnsi="Times New Roman" w:cs="Times New Roman"/>
          <w:i/>
          <w:sz w:val="24"/>
          <w:szCs w:val="24"/>
          <w:lang w:val="uk-UA" w:eastAsia="ru-RU"/>
        </w:rPr>
        <w:t>:</w:t>
      </w:r>
    </w:p>
    <w:p w:rsidR="00897C4E" w:rsidRPr="007356E1" w:rsidRDefault="00897C4E" w:rsidP="00897C4E">
      <w:pPr>
        <w:widowControl w:val="0"/>
        <w:tabs>
          <w:tab w:val="left" w:leader="dot" w:pos="9233"/>
        </w:tabs>
        <w:autoSpaceDE w:val="0"/>
        <w:autoSpaceDN w:val="0"/>
        <w:spacing w:line="240" w:lineRule="auto"/>
        <w:ind w:right="-36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6E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Зауваження  та пропозиції до Заяви про визначення обсягу стратегічної екологічної оцінки </w:t>
      </w:r>
      <w:r w:rsidR="002F0592" w:rsidRPr="007356E1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r w:rsidRPr="007356E1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Pr="007356E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7356E1">
        <w:rPr>
          <w:rFonts w:ascii="Times New Roman" w:hAnsi="Times New Roman" w:cs="Times New Roman"/>
          <w:sz w:val="24"/>
          <w:szCs w:val="24"/>
          <w:lang w:val="uk-UA" w:eastAsia="uk-UA"/>
        </w:rPr>
        <w:t>Детальний план територіїкварталу, обмежено</w:t>
      </w:r>
      <w:r w:rsidR="002F0592" w:rsidRPr="007356E1">
        <w:rPr>
          <w:rFonts w:ascii="Times New Roman" w:hAnsi="Times New Roman" w:cs="Times New Roman"/>
          <w:sz w:val="24"/>
          <w:szCs w:val="24"/>
          <w:lang w:val="uk-UA" w:eastAsia="uk-UA"/>
        </w:rPr>
        <w:t>го</w:t>
      </w:r>
      <w:r w:rsidR="00AB1FEB" w:rsidRPr="007356E1">
        <w:rPr>
          <w:rFonts w:ascii="Times New Roman" w:hAnsi="Times New Roman" w:cs="Times New Roman"/>
          <w:sz w:val="24"/>
          <w:szCs w:val="24"/>
          <w:lang w:val="uk-UA" w:eastAsia="uk-UA"/>
        </w:rPr>
        <w:t>вулицями Паторжинського, Олеся Гончара, Чернишевського та Василя Жуковського</w:t>
      </w:r>
      <w:r w:rsidR="002F0592" w:rsidRPr="007356E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(Соборний район)</w:t>
      </w:r>
      <w:r w:rsidRPr="007356E1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міста Дніпра»</w:t>
      </w:r>
      <w:r w:rsidRPr="007356E1">
        <w:rPr>
          <w:rFonts w:ascii="Times New Roman" w:hAnsi="Times New Roman" w:cs="Times New Roman"/>
          <w:sz w:val="24"/>
          <w:szCs w:val="24"/>
          <w:lang w:val="uk-UA" w:eastAsia="ru-RU"/>
        </w:rPr>
        <w:t>, надаються  протягом 15 днів з дня її оприлюднення</w:t>
      </w:r>
      <w:r w:rsidRPr="007356E1">
        <w:rPr>
          <w:rFonts w:ascii="Times New Roman" w:hAnsi="Times New Roman" w:cs="Times New Roman"/>
          <w:lang w:val="uk-UA"/>
        </w:rPr>
        <w:t>.</w:t>
      </w:r>
    </w:p>
    <w:p w:rsidR="00815876" w:rsidRPr="007356E1" w:rsidRDefault="008158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5876" w:rsidRPr="007356E1" w:rsidRDefault="008158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105B0" w:rsidRPr="000141D8" w:rsidRDefault="002105B0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105B0" w:rsidRPr="000141D8" w:rsidSect="00DF7007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27C" w:rsidRDefault="0076627C" w:rsidP="00020D47">
      <w:pPr>
        <w:spacing w:line="240" w:lineRule="auto"/>
      </w:pPr>
      <w:r>
        <w:separator/>
      </w:r>
    </w:p>
  </w:endnote>
  <w:endnote w:type="continuationSeparator" w:id="1">
    <w:p w:rsidR="0076627C" w:rsidRDefault="0076627C" w:rsidP="00020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CR A Extended">
    <w:altName w:val="MV Boli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27C" w:rsidRDefault="0076627C" w:rsidP="00020D47">
      <w:pPr>
        <w:spacing w:line="240" w:lineRule="auto"/>
      </w:pPr>
      <w:r>
        <w:separator/>
      </w:r>
    </w:p>
  </w:footnote>
  <w:footnote w:type="continuationSeparator" w:id="1">
    <w:p w:rsidR="0076627C" w:rsidRDefault="0076627C" w:rsidP="00020D4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47" w:rsidRDefault="00DF7007" w:rsidP="00617BFC">
    <w:pPr>
      <w:pStyle w:val="a6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20D4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20D47" w:rsidRDefault="00020D47" w:rsidP="00020D4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47" w:rsidRDefault="00020D47" w:rsidP="00020D47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23FA"/>
    <w:multiLevelType w:val="hybridMultilevel"/>
    <w:tmpl w:val="E46EDF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D15CC7"/>
    <w:multiLevelType w:val="hybridMultilevel"/>
    <w:tmpl w:val="355C8EA6"/>
    <w:lvl w:ilvl="0" w:tplc="6524A57E">
      <w:start w:val="3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OCR A Extended" w:eastAsia="Calibri" w:hAnsi="OCR A Extended" w:cs="OCR A Extend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C57752"/>
    <w:multiLevelType w:val="hybridMultilevel"/>
    <w:tmpl w:val="F184EEB4"/>
    <w:lvl w:ilvl="0" w:tplc="19C03CC6">
      <w:start w:val="1"/>
      <w:numFmt w:val="bullet"/>
      <w:lvlText w:val="-"/>
      <w:lvlJc w:val="left"/>
      <w:pPr>
        <w:ind w:left="928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47B65C0F"/>
    <w:multiLevelType w:val="hybridMultilevel"/>
    <w:tmpl w:val="CD8ACD1C"/>
    <w:lvl w:ilvl="0" w:tplc="6524A57E">
      <w:start w:val="3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OCR A Extended" w:eastAsia="Calibri" w:hAnsi="OCR A Extended" w:cs="OCR A Extend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0A0"/>
    <w:rsid w:val="000141D8"/>
    <w:rsid w:val="00020D47"/>
    <w:rsid w:val="000459B1"/>
    <w:rsid w:val="00047DA7"/>
    <w:rsid w:val="000537A8"/>
    <w:rsid w:val="00065A07"/>
    <w:rsid w:val="000726B7"/>
    <w:rsid w:val="000B2E90"/>
    <w:rsid w:val="000B5C84"/>
    <w:rsid w:val="0016127D"/>
    <w:rsid w:val="00183D31"/>
    <w:rsid w:val="001F5942"/>
    <w:rsid w:val="00202628"/>
    <w:rsid w:val="002105B0"/>
    <w:rsid w:val="002242FC"/>
    <w:rsid w:val="002278E9"/>
    <w:rsid w:val="00251088"/>
    <w:rsid w:val="002A5CB5"/>
    <w:rsid w:val="002F0592"/>
    <w:rsid w:val="002F7E40"/>
    <w:rsid w:val="00317563"/>
    <w:rsid w:val="00323E2F"/>
    <w:rsid w:val="00342F8C"/>
    <w:rsid w:val="00352A08"/>
    <w:rsid w:val="003C10A0"/>
    <w:rsid w:val="003C64B2"/>
    <w:rsid w:val="00441164"/>
    <w:rsid w:val="00486242"/>
    <w:rsid w:val="004908C0"/>
    <w:rsid w:val="004C15AC"/>
    <w:rsid w:val="004D527D"/>
    <w:rsid w:val="004E4422"/>
    <w:rsid w:val="00501F00"/>
    <w:rsid w:val="00557662"/>
    <w:rsid w:val="00574093"/>
    <w:rsid w:val="00597968"/>
    <w:rsid w:val="005B4374"/>
    <w:rsid w:val="005C5768"/>
    <w:rsid w:val="005D1F86"/>
    <w:rsid w:val="00632897"/>
    <w:rsid w:val="00657F80"/>
    <w:rsid w:val="006660B7"/>
    <w:rsid w:val="00672897"/>
    <w:rsid w:val="006A6195"/>
    <w:rsid w:val="006A7A3C"/>
    <w:rsid w:val="006D0554"/>
    <w:rsid w:val="006F1995"/>
    <w:rsid w:val="006F6EFF"/>
    <w:rsid w:val="00706974"/>
    <w:rsid w:val="007356E1"/>
    <w:rsid w:val="0076627C"/>
    <w:rsid w:val="00786C0B"/>
    <w:rsid w:val="00796CEF"/>
    <w:rsid w:val="007E6BB6"/>
    <w:rsid w:val="007F7C37"/>
    <w:rsid w:val="00815876"/>
    <w:rsid w:val="00831D40"/>
    <w:rsid w:val="00894BF8"/>
    <w:rsid w:val="00897C4E"/>
    <w:rsid w:val="008F6B55"/>
    <w:rsid w:val="00911E02"/>
    <w:rsid w:val="0091732A"/>
    <w:rsid w:val="009954A4"/>
    <w:rsid w:val="0099723D"/>
    <w:rsid w:val="00A114DD"/>
    <w:rsid w:val="00A21C8A"/>
    <w:rsid w:val="00A36730"/>
    <w:rsid w:val="00A80FFD"/>
    <w:rsid w:val="00A9402E"/>
    <w:rsid w:val="00AB1FEB"/>
    <w:rsid w:val="00AC07D8"/>
    <w:rsid w:val="00AD3A61"/>
    <w:rsid w:val="00B114EC"/>
    <w:rsid w:val="00B443D4"/>
    <w:rsid w:val="00B527B9"/>
    <w:rsid w:val="00B72D29"/>
    <w:rsid w:val="00B853F3"/>
    <w:rsid w:val="00BB1EEE"/>
    <w:rsid w:val="00BD3F10"/>
    <w:rsid w:val="00BD614D"/>
    <w:rsid w:val="00BE21C3"/>
    <w:rsid w:val="00BF2A31"/>
    <w:rsid w:val="00C279A7"/>
    <w:rsid w:val="00C357E9"/>
    <w:rsid w:val="00C563C4"/>
    <w:rsid w:val="00C56853"/>
    <w:rsid w:val="00C6653F"/>
    <w:rsid w:val="00CF4D5E"/>
    <w:rsid w:val="00D27291"/>
    <w:rsid w:val="00D54356"/>
    <w:rsid w:val="00DF7007"/>
    <w:rsid w:val="00E635A5"/>
    <w:rsid w:val="00E6377C"/>
    <w:rsid w:val="00ED6E63"/>
    <w:rsid w:val="00EE0F54"/>
    <w:rsid w:val="00EF4087"/>
    <w:rsid w:val="00F0379D"/>
    <w:rsid w:val="00F11929"/>
    <w:rsid w:val="00F3655F"/>
    <w:rsid w:val="00F84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05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rsid w:val="00897C4E"/>
    <w:rPr>
      <w:color w:val="auto"/>
      <w:u w:val="single"/>
    </w:rPr>
  </w:style>
  <w:style w:type="character" w:styleId="a5">
    <w:name w:val="Strong"/>
    <w:qFormat/>
    <w:rsid w:val="00897C4E"/>
    <w:rPr>
      <w:b/>
    </w:rPr>
  </w:style>
  <w:style w:type="paragraph" w:styleId="a6">
    <w:name w:val="header"/>
    <w:basedOn w:val="a"/>
    <w:link w:val="a7"/>
    <w:uiPriority w:val="99"/>
    <w:unhideWhenUsed/>
    <w:rsid w:val="00020D4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0D47"/>
  </w:style>
  <w:style w:type="paragraph" w:styleId="a8">
    <w:name w:val="footer"/>
    <w:basedOn w:val="a"/>
    <w:link w:val="a9"/>
    <w:uiPriority w:val="99"/>
    <w:unhideWhenUsed/>
    <w:rsid w:val="00020D4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0D47"/>
  </w:style>
  <w:style w:type="character" w:styleId="aa">
    <w:name w:val="page number"/>
    <w:basedOn w:val="a0"/>
    <w:uiPriority w:val="99"/>
    <w:semiHidden/>
    <w:unhideWhenUsed/>
    <w:rsid w:val="00020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1072;rchplan@dmr.dp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11386</Words>
  <Characters>6491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Мішарін В.М.</dc:creator>
  <cp:keywords/>
  <dc:description/>
  <cp:lastModifiedBy>Pitko_IV</cp:lastModifiedBy>
  <cp:revision>73</cp:revision>
  <cp:lastPrinted>2020-08-27T07:52:00Z</cp:lastPrinted>
  <dcterms:created xsi:type="dcterms:W3CDTF">2020-05-06T11:56:00Z</dcterms:created>
  <dcterms:modified xsi:type="dcterms:W3CDTF">2021-06-09T07:01:00Z</dcterms:modified>
</cp:coreProperties>
</file>