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Щорічний конкурс проєктів та стартапів Innodnipro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Використання грошової винагороди авторами (командами) проєктів-переможців 2019 року, у 2020-му році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підставі роботи конкурсної комісії щорічного конкурсу проєктів та стартапів Innodnipro у 2019 році визначено 10 проєктів переможців, між якими розподілено призовий фонд конкурсу загальним об’ємом у 500 тис. грн (матеріальне заохочення переможців та видатки на реалізацію заходів проєктів у вигляді грошової винагороди), таблиця 1.</w:t>
      </w:r>
    </w:p>
    <w:p w:rsidR="00000000" w:rsidDel="00000000" w:rsidP="00000000" w:rsidRDefault="00000000" w:rsidRPr="00000000" w14:paraId="00000005">
      <w:pPr>
        <w:ind w:left="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Таблиця 1</w:t>
      </w:r>
    </w:p>
    <w:p w:rsidR="00000000" w:rsidDel="00000000" w:rsidP="00000000" w:rsidRDefault="00000000" w:rsidRPr="00000000" w14:paraId="00000006">
      <w:pPr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Розподіл грошової винагороди між проєктами-переможцями конкурсу Innodnipro 2019 року</w:t>
      </w:r>
    </w:p>
    <w:tbl>
      <w:tblPr>
        <w:tblStyle w:val="Table1"/>
        <w:tblW w:w="912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70"/>
        <w:gridCol w:w="4650"/>
        <w:gridCol w:w="2025"/>
        <w:gridCol w:w="1875"/>
        <w:tblGridChange w:id="0">
          <w:tblGrid>
            <w:gridCol w:w="570"/>
            <w:gridCol w:w="4650"/>
            <w:gridCol w:w="2025"/>
            <w:gridCol w:w="1875"/>
          </w:tblGrid>
        </w:tblGridChange>
      </w:tblGrid>
      <w:tr>
        <w:trPr>
          <w:trHeight w:val="49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Назва проєкту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Автор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Сума винагороди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Infusion Light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Пославський Сергій Юрійович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100 000,00 грн.</w:t>
            </w:r>
          </w:p>
        </w:tc>
      </w:tr>
      <w:tr>
        <w:trPr>
          <w:trHeight w:val="945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Сортові ресурси пшениці, що придатні для харчування людей з особливими потребами до якості та співвідношенням білкових компонентів (глютену)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Назаренко Микола Миколайович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85 000,00 грн.</w:t>
            </w:r>
          </w:p>
        </w:tc>
      </w:tr>
      <w:tr>
        <w:trPr>
          <w:trHeight w:val="831.9140625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Розробка сучасних засобів специфічної профілактики та боротьби з туберкульозом та мікобактеріозною інфекцією в тваринництві України.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Зажарський Володимир Володимирович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70 000,00 грн.</w:t>
            </w:r>
          </w:p>
        </w:tc>
      </w:tr>
      <w:tr>
        <w:trPr>
          <w:trHeight w:val="460.95703125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Зарядний пристрій «PULSAR»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Дробишев Макар Сергійович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35 000,00 грн.</w:t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CUBA BUBA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Брусіловська Влада Вадимівна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35 000,00 грн.</w:t>
            </w:r>
          </w:p>
        </w:tc>
      </w:tr>
      <w:tr>
        <w:trPr>
          <w:trHeight w:val="1050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Розговорити та домовитися АБО Формування медійних компетентностей публічних службовців протягом 90 годин методами медіації та альтернативного вирішення спорів як інструмент забезпечення громадянської злагоди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Павленко Олена Олександрівна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35 000,00 грн.</w:t>
            </w:r>
          </w:p>
        </w:tc>
      </w:tr>
      <w:tr>
        <w:trPr>
          <w:trHeight w:val="480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Розробка та впровадження нових прогностичних маркерів розвитку ускладнень та ефективності лікування хворих на гострі коронарні синдроми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Шевцова Алла Іванівна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35 000,00 грн.</w:t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Діагностичні набори для визначення патологій гемостазу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Шемет Сергій Анатолійович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35 000,00 грн.</w:t>
            </w:r>
          </w:p>
        </w:tc>
      </w:tr>
      <w:tr>
        <w:trPr>
          <w:trHeight w:val="60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Рециклінг конструкційних пластиків з додаванням відпрацьованих поліетиленів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Деркач Олексій Дмитрович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35 000,00 грн.</w:t>
            </w:r>
          </w:p>
        </w:tc>
      </w:tr>
      <w:tr>
        <w:trPr>
          <w:trHeight w:val="210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Ефективна інтеграція електромобілів в інфраструктуру населених пунктів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Луценко Іван Миколайович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35 000,00 грн.</w:t>
            </w:r>
          </w:p>
        </w:tc>
      </w:tr>
    </w:tbl>
    <w:p w:rsidR="00000000" w:rsidDel="00000000" w:rsidP="00000000" w:rsidRDefault="00000000" w:rsidRPr="00000000" w14:paraId="00000033">
      <w:pPr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рамках роботи з заходами та тематиками проєктів забезпечено участь авторів у щонайменше 15 конкурсах та конференціях, опубліковано 19 наукових публікацій, ряд публікацій підготовлено до друку (таблиця 2).</w:t>
      </w:r>
    </w:p>
    <w:p w:rsidR="00000000" w:rsidDel="00000000" w:rsidP="00000000" w:rsidRDefault="00000000" w:rsidRPr="00000000" w14:paraId="00000035">
      <w:pPr>
        <w:ind w:left="0" w:firstLine="0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Таблиця 2</w:t>
      </w:r>
    </w:p>
    <w:p w:rsidR="00000000" w:rsidDel="00000000" w:rsidP="00000000" w:rsidRDefault="00000000" w:rsidRPr="00000000" w14:paraId="00000036">
      <w:pPr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Апробація, подальший розвиток та успіхи проєктів-переможців</w:t>
      </w:r>
    </w:p>
    <w:p w:rsidR="00000000" w:rsidDel="00000000" w:rsidP="00000000" w:rsidRDefault="00000000" w:rsidRPr="00000000" w14:paraId="00000037">
      <w:pPr>
        <w:ind w:left="0" w:firstLine="0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(за матеріалами звітів авторів)</w:t>
      </w:r>
    </w:p>
    <w:tbl>
      <w:tblPr>
        <w:tblStyle w:val="Table2"/>
        <w:tblW w:w="9037.275182100797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11.2378315822914"/>
        <w:gridCol w:w="3420"/>
        <w:gridCol w:w="1275"/>
        <w:gridCol w:w="1065"/>
        <w:gridCol w:w="2666.0373505185053"/>
        <w:tblGridChange w:id="0">
          <w:tblGrid>
            <w:gridCol w:w="611.2378315822914"/>
            <w:gridCol w:w="3420"/>
            <w:gridCol w:w="1275"/>
            <w:gridCol w:w="1065"/>
            <w:gridCol w:w="2666.0373505185053"/>
          </w:tblGrid>
        </w:tblGridChange>
      </w:tblGrid>
      <w:tr>
        <w:trPr>
          <w:trHeight w:val="7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 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Назва проєкту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Конференції, конкурси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Наукові публікації (одиниць)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Інші матеріали, надані авторами у звітах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Infusion Light (стартап)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Численні матеріали у ЗМІ</w:t>
            </w:r>
          </w:p>
        </w:tc>
      </w:tr>
      <w:tr>
        <w:trPr>
          <w:trHeight w:val="1155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Сортові ресурси пшениці, що придатні для харчування людей з особливими потребами до якості та співвідношенням білкових компонентів (глютену)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 нових зразки пшениці зареєстровано, проводиться робота в рамках двох наукових проєктів (в тому числі один міжнародний)</w:t>
            </w:r>
          </w:p>
        </w:tc>
      </w:tr>
      <w:tr>
        <w:trPr>
          <w:trHeight w:val="945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Розробка сучасних засобів специфічної профілактики та боротьби з туберкульозом та мікобактеріозною інфекцією в тваринництві України.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Отримано 2 патенти, забезпечено 2 стажування членів команди (у тому числі у Польщі)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Зарядний пристрій «PULSAR» (стартап)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Численні матеріали у ЗМІ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CUBA BUBA (стартап)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Численні матеріали у ЗМІ</w:t>
            </w:r>
          </w:p>
        </w:tc>
      </w:tr>
      <w:tr>
        <w:trPr>
          <w:trHeight w:val="1380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Розговорити та домовитися АБО Формування медійних компетентностей публічних службовців протягом 90 годин методами медіації та альтернативного вирішення спорів як інструмент забезпечення громадянської злагоди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Підготовлено підручник з підготовки професійних переговірників</w:t>
            </w:r>
          </w:p>
        </w:tc>
      </w:tr>
      <w:tr>
        <w:trPr>
          <w:trHeight w:val="945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Розробка та впровадження нових прогностичних маркерів розвитку ускладнень та ефективності лікування хворих на гострі коронарні синдроми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Додатково підготовлено статтю для публікації в закордонному журналі</w:t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Діагностичні набори для визначення патологій гемостазу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720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Рециклінг конструкційних пластиків з додаванням відпрацьованих поліетиленів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Співавтора проєкту запрошено для участі у фіналі міжнародного конкурсу</w:t>
            </w:r>
          </w:p>
        </w:tc>
      </w:tr>
      <w:tr>
        <w:trPr>
          <w:trHeight w:val="1605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Ефективна інтеграція електромобілів в інфраструктуру населених пунктів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Авторів проєкту включено до групи з розвитку електротранспорту при мінінфраструктури.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Підготовлено проєкти до участі у міжнародних грантових програмах.</w:t>
            </w:r>
          </w:p>
        </w:tc>
      </w:tr>
      <w:tr>
        <w:trPr>
          <w:trHeight w:val="315" w:hRule="atLeast"/>
        </w:trPr>
        <w:tc>
          <w:tcPr>
            <w:gridSpan w:val="2"/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ind w:left="0" w:firstLine="0"/>
        <w:jc w:val="lef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Окрім цього, авторами низки проєктів забезпечено подальший розвиток власних ініціатив за допомогою участі у інших конкурсах та грантових програмах.</w:t>
      </w:r>
    </w:p>
    <w:p w:rsidR="00000000" w:rsidDel="00000000" w:rsidP="00000000" w:rsidRDefault="00000000" w:rsidRPr="00000000" w14:paraId="00000077">
      <w:pPr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підставі звітів, поданих авторами, до реалізації частини проєктів залучено додаткові кошти. Це, зокрема, проєкт 005, в рамках якого витрачено понад 240 тис. фінансування, окрім виграного в конкурсі. А також проєкт 030, де для реалізації проєкту окрім отриманих фактично 28 034 грн, додатково залучено таку ж саму суму (разом - 57 330 грн). Також проєктом 038 для проведення досліджень залучено додаткові кошти.</w:t>
      </w:r>
    </w:p>
    <w:p w:rsidR="00000000" w:rsidDel="00000000" w:rsidP="00000000" w:rsidRDefault="00000000" w:rsidRPr="00000000" w14:paraId="00000078">
      <w:pPr>
        <w:ind w:firstLine="708.6614173228347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Таблиця 3</w:t>
      </w:r>
    </w:p>
    <w:p w:rsidR="00000000" w:rsidDel="00000000" w:rsidP="00000000" w:rsidRDefault="00000000" w:rsidRPr="00000000" w14:paraId="00000079">
      <w:pPr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Структура витрат грошової винагороди у рамках роботи з проєктами-переможцями 2019-го року</w:t>
      </w:r>
    </w:p>
    <w:tbl>
      <w:tblPr>
        <w:tblStyle w:val="Table3"/>
        <w:tblW w:w="903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0"/>
        <w:gridCol w:w="1635"/>
        <w:gridCol w:w="1230"/>
        <w:gridCol w:w="1320"/>
        <w:gridCol w:w="1845"/>
        <w:gridCol w:w="2460"/>
        <w:tblGridChange w:id="0">
          <w:tblGrid>
            <w:gridCol w:w="540"/>
            <w:gridCol w:w="1635"/>
            <w:gridCol w:w="1230"/>
            <w:gridCol w:w="1320"/>
            <w:gridCol w:w="1845"/>
            <w:gridCol w:w="2460"/>
          </w:tblGrid>
        </w:tblGridChange>
      </w:tblGrid>
      <w:tr>
        <w:trPr>
          <w:trHeight w:val="115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№ 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Грошова винагорода, після оподаткування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Закупівля техніки, обладнання тощо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Реагенти та похідні, дослідження, матеріали тощо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Відрядження, нормативний супровід та інтелектуальна діяльність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80 097,00 грн.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37218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42879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68 082,87 грн.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54620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14262,87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56 000,00 грн.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3600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20400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32000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28 175,00 грн.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18080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2500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Інше - 7595</w:t>
            </w:r>
          </w:p>
        </w:tc>
      </w:tr>
      <w:tr>
        <w:trPr>
          <w:trHeight w:val="495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28 034,12 грн.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Комплекс цілісний, залучено додаткові кошти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28 034,12 грн.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28034,12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28 034,12 грн.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Залучено додаткові кошти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28 034,12 грн.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28034,12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Залучено додаткові кошти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28 034,12 грн.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13070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9250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4350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Інше - 1364,12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28 034,12 грн.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13000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5000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10000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BC">
      <w:pPr>
        <w:ind w:left="0" w:firstLine="708.6614173228347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Аналізуючи структуру витрат (без урахування двох проєктів, щодо яких визначити структуру витрат неможливо), таблиця 3, констатуємо таке:</w:t>
      </w:r>
    </w:p>
    <w:p w:rsidR="00000000" w:rsidDel="00000000" w:rsidP="00000000" w:rsidRDefault="00000000" w:rsidRPr="00000000" w14:paraId="000000BE">
      <w:pPr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47.6% коштів витрачено на закупівлю реагентів, похідних, інших матеріалів та проведення власне досліджень. </w:t>
      </w:r>
    </w:p>
    <w:p w:rsidR="00000000" w:rsidDel="00000000" w:rsidP="00000000" w:rsidRDefault="00000000" w:rsidRPr="00000000" w14:paraId="000000BF">
      <w:pPr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27.1% - на відрядження, участь у конференціях, стажування, послуги з захисту інтелектуальної власності тощо.</w:t>
      </w:r>
    </w:p>
    <w:p w:rsidR="00000000" w:rsidDel="00000000" w:rsidP="00000000" w:rsidRDefault="00000000" w:rsidRPr="00000000" w14:paraId="000000C0">
      <w:pPr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25.3% - на закупівлю обладнання та техніки, яку можливо використовувати для інших досліджень, роботи та розвитку.</w:t>
      </w:r>
    </w:p>
    <w:p w:rsidR="00000000" w:rsidDel="00000000" w:rsidP="00000000" w:rsidRDefault="00000000" w:rsidRPr="00000000" w14:paraId="000000C1">
      <w:pPr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чином, ключове спрямування грошової винагороди в рамках конкурсу - власне проактивна діяльність.</w:t>
      </w:r>
    </w:p>
    <w:p w:rsidR="00000000" w:rsidDel="00000000" w:rsidP="00000000" w:rsidRDefault="00000000" w:rsidRPr="00000000" w14:paraId="000000C2">
      <w:pPr>
        <w:ind w:left="0"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Ураховуючи напрямки, висвітлені авторами у звітах, поданих за результатами освоєння грошової винагороди, а також продовження діяльності в рамках тем, які охоплюють проєкти, слід зазначити, що мети  в цілому досягнуто, а виконання завдань, поставлених в Положенні про конкурс, відбувається повністю. У тому числі, за умови продовження активного проведення всіх етапів конкурсу щорічно.</w:t>
      </w:r>
    </w:p>
    <w:p w:rsidR="00000000" w:rsidDel="00000000" w:rsidP="00000000" w:rsidRDefault="00000000" w:rsidRPr="00000000" w14:paraId="000000C3">
      <w:pPr>
        <w:ind w:left="0" w:firstLine="708.6614173228347"/>
        <w:jc w:val="both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Додаток 1</w:t>
      </w:r>
    </w:p>
    <w:p w:rsidR="00000000" w:rsidDel="00000000" w:rsidP="00000000" w:rsidRDefault="00000000" w:rsidRPr="00000000" w14:paraId="000000C5">
      <w:pPr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Матеріали авторів проєктів-переможців 2019-го року</w:t>
      </w:r>
    </w:p>
    <w:tbl>
      <w:tblPr>
        <w:tblStyle w:val="Table4"/>
        <w:tblW w:w="903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30"/>
        <w:gridCol w:w="7800"/>
        <w:tblGridChange w:id="0">
          <w:tblGrid>
            <w:gridCol w:w="1230"/>
            <w:gridCol w:w="7800"/>
          </w:tblGrid>
        </w:tblGridChange>
      </w:tblGrid>
      <w:tr>
        <w:trPr>
          <w:trHeight w:val="6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у конкурсі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Назва (звіт за гіперпосиланням)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28"/>
                <w:szCs w:val="28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Infusion Light (стартап)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28"/>
                <w:szCs w:val="28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Сортові ресурси пшениці, що придатні для харчування людей з особливими потребами до якості та співвідношенням білкових компонентів (глютену)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8"/>
                <w:szCs w:val="28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Розробка сучасних засобів специфічної профілактики та боротьби з туберкульозом та мікобактеріозною інфекцією в тваринництві України.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28"/>
                <w:szCs w:val="28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Зарядний пристрій «PULSAR» (стартап)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8"/>
                <w:szCs w:val="28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CUBA BUBA (стартап)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28"/>
                <w:szCs w:val="28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Розговорити та домовитися АБО Формування медійних компетентностей публічних службовців протягом 90 годин методами медіації та альтернативного вирішення спорів як інструмент забезпечення громадянської злагоди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28"/>
                <w:szCs w:val="28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Розробка та впровадження нових прогностичних маркерів розвитку ускладнень та ефективності лікування хворих на гострі коронарні синдроми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28"/>
                <w:szCs w:val="28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Діагностичні набори для визначення патологій гемостазу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28"/>
                <w:szCs w:val="28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Рециклінг конструкційних пластиків з додаванням відпрацьованих поліетиленів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28"/>
                <w:szCs w:val="28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Ефективна інтеграція електромобілів в інфраструктуру населених пунктів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ind w:left="0" w:firstLine="0"/>
        <w:jc w:val="center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Додаток 2</w:t>
      </w:r>
    </w:p>
    <w:p w:rsidR="00000000" w:rsidDel="00000000" w:rsidP="00000000" w:rsidRDefault="00000000" w:rsidRPr="00000000" w14:paraId="000000DE">
      <w:pPr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Презентаційні матеріали для публічного звіту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spreadsheets/d/e/2PACX-1vRZvTiTnhCnr8YX8DKU_ecwm_Bfv7oD9YpponjL8H3Tz6AlAXe7uNn96F7_K8kvHE4SJGtSJ_d0NsXM/pubhtml?gid=1206657043&amp;single=true" TargetMode="External"/><Relationship Id="rId22" Type="http://schemas.openxmlformats.org/officeDocument/2006/relationships/hyperlink" Target="https://docs.google.com/spreadsheets/d/e/2PACX-1vRZvTiTnhCnr8YX8DKU_ecwm_Bfv7oD9YpponjL8H3Tz6AlAXe7uNn96F7_K8kvHE4SJGtSJ_d0NsXM/pubhtml?gid=65256941&amp;single=true" TargetMode="External"/><Relationship Id="rId21" Type="http://schemas.openxmlformats.org/officeDocument/2006/relationships/hyperlink" Target="https://docs.google.com/spreadsheets/d/e/2PACX-1vRZvTiTnhCnr8YX8DKU_ecwm_Bfv7oD9YpponjL8H3Tz6AlAXe7uNn96F7_K8kvHE4SJGtSJ_d0NsXM/pubhtml?gid=1378079020&amp;single=true" TargetMode="External"/><Relationship Id="rId24" Type="http://schemas.openxmlformats.org/officeDocument/2006/relationships/hyperlink" Target="https://docs.google.com/spreadsheets/d/e/2PACX-1vRZvTiTnhCnr8YX8DKU_ecwm_Bfv7oD9YpponjL8H3Tz6AlAXe7uNn96F7_K8kvHE4SJGtSJ_d0NsXM/pubhtml?gid=135025217&amp;single=true" TargetMode="External"/><Relationship Id="rId23" Type="http://schemas.openxmlformats.org/officeDocument/2006/relationships/hyperlink" Target="https://docs.google.com/spreadsheets/d/e/2PACX-1vRZvTiTnhCnr8YX8DKU_ecwm_Bfv7oD9YpponjL8H3Tz6AlAXe7uNn96F7_K8kvHE4SJGtSJ_d0NsXM/pubhtml?gid=1982760209&amp;single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m-Bvz8VOJpNoayZ2ZkRVzyADbCEF0T7d1l1_KSS1vJg" TargetMode="External"/><Relationship Id="rId26" Type="http://schemas.openxmlformats.org/officeDocument/2006/relationships/hyperlink" Target="https://drive.google.com/file/d/1Li0mLZZyCqcJmQ3Dw9Y270Z7rrrNyRKn/view?usp=sharing" TargetMode="External"/><Relationship Id="rId25" Type="http://schemas.openxmlformats.org/officeDocument/2006/relationships/hyperlink" Target="https://docs.google.com/spreadsheets/d/e/2PACX-1vRZvTiTnhCnr8YX8DKU_ecwm_Bfv7oD9YpponjL8H3Tz6AlAXe7uNn96F7_K8kvHE4SJGtSJ_d0NsXM/pubhtml?gid=1621237564&amp;single=true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xo7SBo8ob836Plw6Qlr9a5A4P0b_OrIA3eDq39ODAug" TargetMode="External"/><Relationship Id="rId7" Type="http://schemas.openxmlformats.org/officeDocument/2006/relationships/hyperlink" Target="https://drive.google.com/open?id=1Ce9k8aenx_A1h9Ykf0Qirda95vnSxHsAf6GBrlMcsUg" TargetMode="External"/><Relationship Id="rId8" Type="http://schemas.openxmlformats.org/officeDocument/2006/relationships/hyperlink" Target="https://drive.google.com/open?id=14NNNHVoPdlDrjX_0ExA6rvymPXT2WRTR0WDc4DGHrxg" TargetMode="External"/><Relationship Id="rId11" Type="http://schemas.openxmlformats.org/officeDocument/2006/relationships/hyperlink" Target="https://drive.google.com/open?id=1QpNkWv_rw-l5FNV-615wIiKnZCYZN8uzTpPoDO7HC4U" TargetMode="External"/><Relationship Id="rId10" Type="http://schemas.openxmlformats.org/officeDocument/2006/relationships/hyperlink" Target="https://drive.google.com/open?id=1I_IERCAK-Q5jBec2NMWpW_a_6LbEPiqDpaUk6feYQXw" TargetMode="External"/><Relationship Id="rId13" Type="http://schemas.openxmlformats.org/officeDocument/2006/relationships/hyperlink" Target="https://drive.google.com/open?id=1e73DY-7v6wbZzbNrrRv9yyPNDeWWdmoAZHt08ahiUt8" TargetMode="External"/><Relationship Id="rId12" Type="http://schemas.openxmlformats.org/officeDocument/2006/relationships/hyperlink" Target="https://drive.google.com/open?id=1vx8V4vASGnw4xpNskQlglgaXXQHZWAvk4OQONEOYhVk" TargetMode="External"/><Relationship Id="rId15" Type="http://schemas.openxmlformats.org/officeDocument/2006/relationships/hyperlink" Target="https://drive.google.com/open?id=1s6GxI6p-dtoJu5L_SoNDlPdBIOEDtqTn36PHq5ch5kQ" TargetMode="External"/><Relationship Id="rId14" Type="http://schemas.openxmlformats.org/officeDocument/2006/relationships/hyperlink" Target="https://drive.google.com/open?id=1HiANGCTLlOVJ8YJgI3de_ycABTGVcQQZUZgWig-gMJ4" TargetMode="External"/><Relationship Id="rId17" Type="http://schemas.openxmlformats.org/officeDocument/2006/relationships/hyperlink" Target="https://docs.google.com/spreadsheets/d/e/2PACX-1vRZvTiTnhCnr8YX8DKU_ecwm_Bfv7oD9YpponjL8H3Tz6AlAXe7uNn96F7_K8kvHE4SJGtSJ_d0NsXM/pubhtml?gid=663300850&amp;single=true" TargetMode="External"/><Relationship Id="rId16" Type="http://schemas.openxmlformats.org/officeDocument/2006/relationships/hyperlink" Target="https://docs.google.com/spreadsheets/d/e/2PACX-1vRZvTiTnhCnr8YX8DKU_ecwm_Bfv7oD9YpponjL8H3Tz6AlAXe7uNn96F7_K8kvHE4SJGtSJ_d0NsXM/pubhtml?gid=2099541837&amp;single=true" TargetMode="External"/><Relationship Id="rId19" Type="http://schemas.openxmlformats.org/officeDocument/2006/relationships/hyperlink" Target="https://docs.google.com/spreadsheets/d/e/2PACX-1vRZvTiTnhCnr8YX8DKU_ecwm_Bfv7oD9YpponjL8H3Tz6AlAXe7uNn96F7_K8kvHE4SJGtSJ_d0NsXM/pubhtml?gid=140865969&amp;single=true" TargetMode="External"/><Relationship Id="rId18" Type="http://schemas.openxmlformats.org/officeDocument/2006/relationships/hyperlink" Target="https://docs.google.com/spreadsheets/d/e/2PACX-1vRZvTiTnhCnr8YX8DKU_ecwm_Bfv7oD9YpponjL8H3Tz6AlAXe7uNn96F7_K8kvHE4SJGtSJ_d0NsXM/pubhtml?gid=54758730&amp;single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