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20" w:rsidRPr="00A31020" w:rsidRDefault="00A31020" w:rsidP="00A3102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Hlk92869963"/>
      <w:bookmarkStart w:id="1" w:name="_Hlk94019944"/>
      <w:bookmarkStart w:id="2" w:name="_GoBack"/>
      <w:r w:rsidRPr="00A310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МЕДИКО-ТЕХНІЧНІ ВИМОГИ</w:t>
      </w:r>
    </w:p>
    <w:p w:rsidR="00A31020" w:rsidRPr="00A31020" w:rsidRDefault="00A31020" w:rsidP="00A3102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10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код ДК 021:2015 - 33690000-3 Лікарські засоби різні</w:t>
      </w:r>
    </w:p>
    <w:bookmarkEnd w:id="2"/>
    <w:p w:rsidR="00A31020" w:rsidRPr="00A31020" w:rsidRDefault="00A31020" w:rsidP="00A31020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0A2A" w:rsidRDefault="00300A2A" w:rsidP="00300A2A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1849"/>
        <w:tblW w:w="10344" w:type="dxa"/>
        <w:tblLayout w:type="fixed"/>
        <w:tblLook w:val="04A0" w:firstRow="1" w:lastRow="0" w:firstColumn="1" w:lastColumn="0" w:noHBand="0" w:noVBand="1"/>
      </w:tblPr>
      <w:tblGrid>
        <w:gridCol w:w="422"/>
        <w:gridCol w:w="2693"/>
        <w:gridCol w:w="709"/>
        <w:gridCol w:w="567"/>
        <w:gridCol w:w="2268"/>
        <w:gridCol w:w="3685"/>
      </w:tblGrid>
      <w:tr w:rsidR="00300A2A" w:rsidTr="00300A2A">
        <w:trPr>
          <w:trHeight w:val="8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0A2A" w:rsidRDefault="00300A2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A2A" w:rsidRDefault="0030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9"/>
                <w:szCs w:val="19"/>
                <w:lang w:eastAsia="en-US"/>
              </w:rPr>
              <w:t>Торгова назва предмету закупівлі згідно з документами виробника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A2A" w:rsidRDefault="00300A2A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  <w:t>Од.</w:t>
            </w:r>
          </w:p>
          <w:p w:rsidR="00300A2A" w:rsidRDefault="00300A2A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A2A" w:rsidRDefault="00300A2A">
            <w:pPr>
              <w:spacing w:after="0" w:line="240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  <w:t>к-сть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A2A" w:rsidRDefault="0030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  <w:t>код НК 024:20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A2A" w:rsidRDefault="00300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en-US"/>
              </w:rPr>
              <w:t>МТВ</w:t>
            </w:r>
          </w:p>
        </w:tc>
      </w:tr>
      <w:tr w:rsidR="00300A2A" w:rsidTr="00300A2A">
        <w:trPr>
          <w:trHeight w:val="6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A2A" w:rsidRDefault="00300A2A">
            <w:pPr>
              <w:spacing w:after="0" w:line="220" w:lineRule="exact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EasyLyte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PLUS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Solution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Pack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 (800 ml)   Блок розчинів для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EasyLyte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PLUS 800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(мл)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ind w:left="-114" w:right="-103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ind w:left="-114" w:right="-103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52866 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Множинні електроліти IVD (діагностика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vitro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), набір,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йон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-селективні електроди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rPr>
                <w:rFonts w:ascii="Times New Roman" w:hAnsi="Times New Roman" w:cs="Times New Roman"/>
                <w:sz w:val="19"/>
                <w:szCs w:val="19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Блок розчинів (800 мл) , який складається з реагентів, що вимірюють концентрацію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Nа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+, K+,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- в пробі (реагент 1, реагент 2, реагент 3) у відсотковому співвідношенні. Лише для використання в аналізаторах електролітів (Натрій/Калій/Хлорид)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EasyLyte</w:t>
            </w:r>
            <w:proofErr w:type="spellEnd"/>
          </w:p>
        </w:tc>
      </w:tr>
      <w:tr w:rsidR="00300A2A" w:rsidTr="00300A2A">
        <w:trPr>
          <w:trHeight w:val="69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A2A" w:rsidRDefault="00300A2A">
            <w:pPr>
              <w:spacing w:after="0" w:line="220" w:lineRule="exact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EasyLyte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EasyStat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EasyBlodGas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EasyElectrolytes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Daily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Rinse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Cleaning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Solution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Kit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  Набір розчинів для щоденної промивки/очистки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EasyLyte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EasyStat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EasyBlodGas,EasyElectrolytes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ind w:left="-114" w:right="-103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ind w:left="-114" w:right="-103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59058 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Мийний/очищувальний розчин IVD (діагностика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vitro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) для автоматизованих/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напівавтоматизованих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систем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Для діагностичного використання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Vitro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 в аналізаторах серії 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  <w:t>EasyLyte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  <w:t>EasyStat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  <w:t>EasyBlodGas</w:t>
            </w:r>
            <w:proofErr w:type="spellEnd"/>
            <w:r w:rsidRPr="00300A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:rsidR="00300A2A" w:rsidRDefault="00300A2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Склад: </w:t>
            </w:r>
          </w:p>
          <w:p w:rsidR="00300A2A" w:rsidRDefault="00300A2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Розчинник-очищувач на кожен день 1 х 90 мл. </w:t>
            </w:r>
          </w:p>
          <w:p w:rsidR="00300A2A" w:rsidRDefault="00300A2A">
            <w:pPr>
              <w:spacing w:after="0" w:line="220" w:lineRule="exact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Порошок очищувач на кожен день 6 флаконів.</w:t>
            </w:r>
          </w:p>
        </w:tc>
      </w:tr>
      <w:tr w:rsidR="00300A2A" w:rsidTr="00300A2A">
        <w:trPr>
          <w:trHeight w:val="13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A2A" w:rsidRDefault="00300A2A">
            <w:pPr>
              <w:spacing w:after="0" w:line="220" w:lineRule="exact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EasyQC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Bi-Level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Quality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Control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Kit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EasyQC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Дворівневий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нaбіp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для контролю якості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ind w:left="-114" w:right="-103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ind w:left="-114" w:right="-103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52868 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Множинні електроліти IVD (діагностика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vitro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), контрольний матеріал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rPr>
                <w:rFonts w:ascii="Times New Roman" w:hAnsi="Times New Roman" w:cs="Times New Roman"/>
                <w:sz w:val="19"/>
                <w:szCs w:val="19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Контрольний матеріал для ведення внутрішньо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лабораторного контролю якості за двома рівнями (10мл норма, 10 мл вище норми) при роботі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іонселективними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аналізаторами  серії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EasyLyte</w:t>
            </w:r>
            <w:proofErr w:type="spellEnd"/>
          </w:p>
        </w:tc>
      </w:tr>
      <w:tr w:rsidR="00300A2A" w:rsidTr="00300A2A">
        <w:trPr>
          <w:trHeight w:val="3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A2A" w:rsidRDefault="00300A2A">
            <w:pPr>
              <w:spacing w:after="0" w:line="220" w:lineRule="exact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EasyLyte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Electrode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+ електрод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EasyLyte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ind w:left="-114" w:right="-103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ind w:left="-114" w:right="-103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59249 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Натрієвий електрод, IVD (діагностика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vitro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)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2A" w:rsidRDefault="00300A2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Для використання в аналізаторах електролітів серії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EasyLyte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,  визначення концентрації іонів в пробі (сироватка, кров,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плазма,моча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).</w:t>
            </w:r>
          </w:p>
        </w:tc>
      </w:tr>
      <w:tr w:rsidR="00300A2A" w:rsidRPr="00300A2A" w:rsidTr="00300A2A">
        <w:trPr>
          <w:trHeight w:val="51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A2A" w:rsidRDefault="00300A2A">
            <w:pPr>
              <w:spacing w:after="0" w:line="220" w:lineRule="exact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EasyLyte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K+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Electrode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  K+ електрод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EasyLyte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ind w:left="-114" w:right="-103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ind w:left="-114" w:right="-103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59248 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Калійний електрод IVD (діагностика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vitro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)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2A" w:rsidRDefault="0030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</w:tr>
      <w:tr w:rsidR="00300A2A" w:rsidTr="00300A2A">
        <w:trPr>
          <w:trHeight w:val="4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A2A" w:rsidRDefault="00300A2A">
            <w:pPr>
              <w:spacing w:after="0" w:line="220" w:lineRule="exact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EasyLyte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Electrode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- електрод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EasyLyte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ind w:left="-114" w:right="-103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ind w:left="-114" w:right="-103"/>
              <w:jc w:val="center"/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59240 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Хлоридний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-) електрод IVD (діагностика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vitro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)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A2A" w:rsidRDefault="0030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</w:p>
        </w:tc>
      </w:tr>
      <w:tr w:rsidR="00300A2A" w:rsidTr="00300A2A">
        <w:trPr>
          <w:trHeight w:val="77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A2A" w:rsidRDefault="00300A2A">
            <w:pPr>
              <w:spacing w:after="200" w:line="220" w:lineRule="exact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20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EasyLyte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Electrode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Референсний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електрод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EasyLyte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200" w:line="220" w:lineRule="exact"/>
              <w:ind w:left="-114" w:right="-103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200" w:line="220" w:lineRule="exact"/>
              <w:ind w:left="-114" w:right="-103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20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59241 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Референтний електрод IVD (діагностика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vitro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200" w:line="220" w:lineRule="exact"/>
              <w:rPr>
                <w:rFonts w:ascii="Times New Roman" w:hAnsi="Times New Roman" w:cs="Times New Roman"/>
                <w:sz w:val="19"/>
                <w:szCs w:val="19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Порівняльний електрод Для визначення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концентраціх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іонів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+,K+,CІ-) в пробі (сироватка, кров,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плазма,моча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). Лише для використання в аналізаторах електролітів серії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EasyLyte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Натрій/Калій/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Хлорід</w:t>
            </w:r>
            <w:proofErr w:type="spellEnd"/>
          </w:p>
        </w:tc>
      </w:tr>
      <w:tr w:rsidR="00300A2A" w:rsidTr="00300A2A">
        <w:trPr>
          <w:trHeight w:val="111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A2A" w:rsidRDefault="00300A2A">
            <w:pPr>
              <w:spacing w:after="200" w:line="220" w:lineRule="exact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en-US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20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EasyLyte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Maintenance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Kit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  Експлуатаційний набір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EasyLyte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200" w:line="220" w:lineRule="exact"/>
              <w:ind w:left="-114" w:right="-103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200" w:line="220" w:lineRule="exact"/>
              <w:ind w:left="-114" w:right="-103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52866 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Множинні електроліти IVD (діагностика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vitro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), набір,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йон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-селективні електроди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A2A" w:rsidRDefault="00300A2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Для діагностики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Vitro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в аналізаторах електролітів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EasyLyte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.</w:t>
            </w:r>
          </w:p>
          <w:p w:rsidR="00300A2A" w:rsidRDefault="00300A2A">
            <w:pPr>
              <w:spacing w:after="0" w:line="220" w:lineRule="exact"/>
              <w:rPr>
                <w:rFonts w:ascii="Times New Roman" w:hAnsi="Times New Roman" w:cs="Times New Roman"/>
                <w:sz w:val="19"/>
                <w:szCs w:val="19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Склад: мембрана 1шт, внутрішній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>заповнюючий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US"/>
              </w:rPr>
              <w:t xml:space="preserve"> розчин 125 мл, трубка помпи, трубка зразка.</w:t>
            </w:r>
          </w:p>
        </w:tc>
      </w:tr>
    </w:tbl>
    <w:p w:rsidR="00300A2A" w:rsidRPr="00300A2A" w:rsidRDefault="00300A2A" w:rsidP="00300A2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bookmarkEnd w:id="0"/>
    <w:bookmarkEnd w:id="1"/>
    <w:p w:rsidR="00300A2A" w:rsidRDefault="00300A2A" w:rsidP="00300A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>Запропонований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>учасником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 xml:space="preserve"> товар повинен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 xml:space="preserve"> таким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 w:eastAsia="ru-RU"/>
        </w:rPr>
        <w:t>:</w:t>
      </w:r>
    </w:p>
    <w:p w:rsidR="00300A2A" w:rsidRDefault="00300A2A" w:rsidP="00300A2A">
      <w:pPr>
        <w:widowControl w:val="0"/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Товари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мають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зареєстровані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</w:p>
    <w:p w:rsidR="00300A2A" w:rsidRDefault="00300A2A" w:rsidP="00300A2A">
      <w:pPr>
        <w:widowControl w:val="0"/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Товар,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запропонований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учасником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повинен бути введений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обіг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експлуатацію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) за результатами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технічного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регламенту 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передбаченому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порядку.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копію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декларації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копію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можливість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обіг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експлуатацію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виробу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технічного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регламенту.</w:t>
      </w:r>
    </w:p>
    <w:p w:rsidR="00300A2A" w:rsidRDefault="00300A2A" w:rsidP="00300A2A">
      <w:pPr>
        <w:widowControl w:val="0"/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Спроможність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учасника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поставити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товар повинна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підтверджуватись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оригіналом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листів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авторизації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товар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виробляється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листом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авторизації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t>представника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товаровиробника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,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інформація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представництва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документально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офіційним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документом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товаровиробника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) про передачу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на продаж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реалізацію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) товару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необхідній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та 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потрібні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терміни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виданим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торгів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та номером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опубліковане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Prozorro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</w:p>
    <w:p w:rsidR="00300A2A" w:rsidRDefault="00300A2A" w:rsidP="00300A2A">
      <w:pPr>
        <w:widowControl w:val="0"/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Упаковка Товару повинна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санітарним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нормам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виду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продукції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.  Упаковка не повинна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пошкоджена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розкрита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, не укомплектована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недоукомплектована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. Товар повинен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упакований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таким чином,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запобігати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псуванню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знищенню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доставки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другій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Стороні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</w:p>
    <w:p w:rsidR="00300A2A" w:rsidRDefault="00300A2A" w:rsidP="00300A2A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Залишковий термін придатності товару на момент поставки повинен становити не менше 80% загального терміну його придатності. (Надати Гарантійний лист).</w:t>
      </w:r>
    </w:p>
    <w:p w:rsidR="00300A2A" w:rsidRDefault="00300A2A" w:rsidP="00300A2A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 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 та товару, що визначений в документації з відомостями щодо відповідності вимогам.</w:t>
      </w:r>
    </w:p>
    <w:p w:rsidR="00300A2A" w:rsidRDefault="00300A2A" w:rsidP="00300A2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38A3" w:rsidRDefault="00E238A3"/>
    <w:sectPr w:rsidR="00E2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06605"/>
    <w:multiLevelType w:val="multilevel"/>
    <w:tmpl w:val="191229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C8"/>
    <w:rsid w:val="002F649E"/>
    <w:rsid w:val="00300A2A"/>
    <w:rsid w:val="009848C8"/>
    <w:rsid w:val="00A31020"/>
    <w:rsid w:val="00E2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649DA9-0428-4876-86EC-A1238AC6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2A"/>
    <w:pPr>
      <w:spacing w:line="25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2024-03-14T11:58:00Z</dcterms:created>
  <dcterms:modified xsi:type="dcterms:W3CDTF">2024-03-14T12:00:00Z</dcterms:modified>
</cp:coreProperties>
</file>