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D7BEC" w14:textId="77777777" w:rsidR="006F3FE2" w:rsidRDefault="006F3FE2" w:rsidP="00AB45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48605112"/>
      <w:bookmarkStart w:id="1" w:name="_GoBack"/>
      <w:bookmarkEnd w:id="1"/>
    </w:p>
    <w:p w14:paraId="65A450B1" w14:textId="77777777" w:rsidR="006D7B26" w:rsidRPr="006D7B26" w:rsidRDefault="006D7B26" w:rsidP="006D7B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14:paraId="5AAA7820" w14:textId="77777777" w:rsidR="00061C14" w:rsidRDefault="00061C14" w:rsidP="0058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155344878"/>
      <w:r w:rsidRPr="00061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ТЕХНІЧНА СПЕЦИФІКАЦІЯ ДО ПРЕДМЕТА ЗАКУПІВЛІ</w:t>
      </w:r>
    </w:p>
    <w:p w14:paraId="23C8D522" w14:textId="77777777" w:rsidR="00061C14" w:rsidRDefault="00061C14" w:rsidP="0058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8FD9FC" w14:textId="600000DD" w:rsidR="00B8355A" w:rsidRPr="00BD5204" w:rsidRDefault="00555229" w:rsidP="0058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5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ДК 021:2015 код 90520000-8   Послуги у сфері поводження з радіоактивними, токсичними, медичними та небезпечними </w:t>
      </w:r>
      <w:r w:rsidRPr="00BD5204">
        <w:rPr>
          <w:rFonts w:ascii="Times New Roman" w:eastAsia="Times New Roman" w:hAnsi="Times New Roman" w:cs="Times New Roman"/>
          <w:b/>
          <w:bCs/>
          <w:lang w:eastAsia="ru-RU"/>
        </w:rPr>
        <w:t xml:space="preserve">відходами </w:t>
      </w:r>
      <w:r w:rsidR="00BD5204" w:rsidRPr="00BD5204">
        <w:rPr>
          <w:rFonts w:ascii="Times New Roman" w:eastAsia="Times New Roman" w:hAnsi="Times New Roman" w:cs="Times New Roman"/>
          <w:b/>
          <w:bCs/>
          <w:lang w:eastAsia="ru-RU"/>
        </w:rPr>
        <w:t>(Послуги зі збирання, перевезення та видалення відходів, що утворилися в результаті медичної діяльності)</w:t>
      </w:r>
    </w:p>
    <w:p w14:paraId="3F8F903B" w14:textId="77777777" w:rsidR="00555229" w:rsidRDefault="00555229" w:rsidP="0058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3DDE70" w14:textId="1756642A" w:rsidR="00212CBC" w:rsidRDefault="00212CBC" w:rsidP="00212CBC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59" w:lineRule="atLeas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3" w:name="_Hlk153532354"/>
      <w:r>
        <w:rPr>
          <w:rFonts w:ascii="Times New Roman" w:hAnsi="Times New Roman" w:cs="Times New Roman"/>
          <w:b/>
          <w:sz w:val="24"/>
          <w:szCs w:val="24"/>
          <w:lang w:eastAsia="en-US"/>
        </w:rPr>
        <w:t>Надання послуг</w:t>
      </w:r>
      <w:r w:rsidR="00FB53BE">
        <w:rPr>
          <w:rFonts w:ascii="Times New Roman" w:hAnsi="Times New Roman" w:cs="Times New Roman"/>
          <w:b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за адресою</w:t>
      </w:r>
      <w:r w:rsidR="00B82A8C">
        <w:rPr>
          <w:rFonts w:ascii="Times New Roman" w:hAnsi="Times New Roman" w:cs="Times New Roman"/>
          <w:b/>
          <w:sz w:val="24"/>
          <w:szCs w:val="24"/>
          <w:lang w:eastAsia="en-US"/>
        </w:rPr>
        <w:t>: м. Дніпро;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вул. </w:t>
      </w:r>
      <w:r w:rsidR="00B82A8C">
        <w:rPr>
          <w:rFonts w:ascii="Times New Roman" w:hAnsi="Times New Roman" w:cs="Times New Roman"/>
          <w:b/>
          <w:sz w:val="24"/>
          <w:szCs w:val="24"/>
          <w:lang w:eastAsia="en-US"/>
        </w:rPr>
        <w:t>Караваєва,68; Вул. Воскресенська,2;                                            вул. Акінфієва,5</w:t>
      </w:r>
    </w:p>
    <w:bookmarkEnd w:id="3"/>
    <w:p w14:paraId="15391399" w14:textId="539B329E" w:rsidR="00B8355A" w:rsidRDefault="00B8355A" w:rsidP="0058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5970"/>
        <w:gridCol w:w="1550"/>
        <w:gridCol w:w="1410"/>
      </w:tblGrid>
      <w:tr w:rsidR="008646B8" w:rsidRPr="008646B8" w14:paraId="72173676" w14:textId="77777777" w:rsidTr="00297878">
        <w:tc>
          <w:tcPr>
            <w:tcW w:w="880" w:type="dxa"/>
          </w:tcPr>
          <w:p w14:paraId="72DF59D3" w14:textId="77777777" w:rsidR="008646B8" w:rsidRPr="008646B8" w:rsidRDefault="008646B8" w:rsidP="00864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bookmarkStart w:id="4" w:name="_Hlk155342222"/>
            <w:r w:rsidRPr="008646B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№з/п</w:t>
            </w:r>
          </w:p>
        </w:tc>
        <w:tc>
          <w:tcPr>
            <w:tcW w:w="5970" w:type="dxa"/>
          </w:tcPr>
          <w:p w14:paraId="7D85E444" w14:textId="77777777" w:rsidR="008646B8" w:rsidRPr="008646B8" w:rsidRDefault="008646B8" w:rsidP="00864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646B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Найменування відходів</w:t>
            </w:r>
          </w:p>
        </w:tc>
        <w:tc>
          <w:tcPr>
            <w:tcW w:w="1550" w:type="dxa"/>
          </w:tcPr>
          <w:p w14:paraId="14930535" w14:textId="77777777" w:rsidR="008646B8" w:rsidRPr="008646B8" w:rsidRDefault="008646B8" w:rsidP="008646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646B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Од. виміру</w:t>
            </w:r>
          </w:p>
        </w:tc>
        <w:tc>
          <w:tcPr>
            <w:tcW w:w="1410" w:type="dxa"/>
          </w:tcPr>
          <w:p w14:paraId="673B8982" w14:textId="77777777" w:rsidR="008646B8" w:rsidRPr="008646B8" w:rsidRDefault="008646B8" w:rsidP="008646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646B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Кількість</w:t>
            </w:r>
          </w:p>
        </w:tc>
      </w:tr>
      <w:tr w:rsidR="008646B8" w:rsidRPr="008646B8" w14:paraId="712F7E50" w14:textId="77777777" w:rsidTr="00297878">
        <w:tc>
          <w:tcPr>
            <w:tcW w:w="880" w:type="dxa"/>
          </w:tcPr>
          <w:p w14:paraId="7F913ED4" w14:textId="77777777" w:rsidR="008646B8" w:rsidRPr="008646B8" w:rsidRDefault="008646B8" w:rsidP="00864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646B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70" w:type="dxa"/>
          </w:tcPr>
          <w:p w14:paraId="46FEA2BA" w14:textId="4A3DDB27" w:rsidR="008646B8" w:rsidRPr="008646B8" w:rsidRDefault="006D0E92" w:rsidP="008646B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D0E92"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18 01 03* Відходи, збирання та видалення яких обумовлено спеціальними вимогами для запобігання виникненню інфекції: медичні відходи категорії В (Використані небезпечні гострі предмети і медичні вироби забруднені біологічними рідинами (голки медичні, шприци з одягненою голкою, скальпелі та їхні леза та інші колючі ріжучі предмети, битий скляний посуд, внутрішньовенні катетери, скарифікатори, системи,   ланцети для забору крові тощо), імунобіологічні лікарські засоби з втраченими властивостями у первинній упаковці, медичні вироби і предмети, забруднені імунобіологічними лікарськими засобами, кров’ю та/або іншими біологічними рідинами (кисневі маски, шприци без одягненої голки, засоби індивідуального захисту, засоби захисту органів дихання (маски),органів зору, спецодяг, засоби, які використовувались для дезінфекції (серветки, </w:t>
            </w:r>
            <w:proofErr w:type="spellStart"/>
            <w:r w:rsidRPr="006D0E92"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гарчір’я</w:t>
            </w:r>
            <w:proofErr w:type="spellEnd"/>
            <w:r w:rsidRPr="006D0E92"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, тощо), відпрацьований перев’язувальний матеріал, рукавички,   тощо)</w:t>
            </w:r>
          </w:p>
        </w:tc>
        <w:tc>
          <w:tcPr>
            <w:tcW w:w="1550" w:type="dxa"/>
          </w:tcPr>
          <w:p w14:paraId="31B59031" w14:textId="77777777" w:rsidR="008646B8" w:rsidRPr="008646B8" w:rsidRDefault="008646B8" w:rsidP="008646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646B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410" w:type="dxa"/>
          </w:tcPr>
          <w:p w14:paraId="1D697162" w14:textId="56A5BD38" w:rsidR="008646B8" w:rsidRPr="008646B8" w:rsidRDefault="00E76BE7" w:rsidP="00272F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  <w:r w:rsidR="00B82A8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272F9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5</w:t>
            </w:r>
            <w:r w:rsidR="00C7481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00</w:t>
            </w:r>
          </w:p>
        </w:tc>
      </w:tr>
      <w:tr w:rsidR="006D0E92" w:rsidRPr="008646B8" w14:paraId="7A130FBE" w14:textId="77777777" w:rsidTr="00297878">
        <w:tc>
          <w:tcPr>
            <w:tcW w:w="880" w:type="dxa"/>
          </w:tcPr>
          <w:p w14:paraId="460DA85E" w14:textId="77777777" w:rsidR="006D0E92" w:rsidRPr="008646B8" w:rsidRDefault="006D0E92" w:rsidP="006D0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646B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70" w:type="dxa"/>
          </w:tcPr>
          <w:p w14:paraId="1500E7CE" w14:textId="78A9445B" w:rsidR="006D0E92" w:rsidRPr="008646B8" w:rsidRDefault="006D0E92" w:rsidP="006D0E9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66553">
              <w:rPr>
                <w:rFonts w:ascii="Times New Roman" w:hAnsi="Times New Roman"/>
                <w:sz w:val="24"/>
                <w:szCs w:val="24"/>
              </w:rPr>
              <w:t>18 01 03*</w:t>
            </w:r>
            <w:r w:rsidRPr="000A7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553">
              <w:rPr>
                <w:rFonts w:ascii="Times New Roman" w:hAnsi="Times New Roman"/>
                <w:sz w:val="24"/>
                <w:szCs w:val="24"/>
              </w:rPr>
              <w:t>Відходи, збирання та видалення яких обумовлено спеціальними вимогами для запобігання виникненню інфекції</w:t>
            </w:r>
            <w:r>
              <w:rPr>
                <w:rFonts w:ascii="Times New Roman" w:hAnsi="Times New Roman"/>
                <w:sz w:val="24"/>
                <w:szCs w:val="24"/>
              </w:rPr>
              <w:t>: о</w:t>
            </w:r>
            <w:r w:rsidRPr="008646B8"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рганічні відходи категорії В (тканини, органи та частини тіла, тощо)</w:t>
            </w:r>
          </w:p>
        </w:tc>
        <w:tc>
          <w:tcPr>
            <w:tcW w:w="1550" w:type="dxa"/>
          </w:tcPr>
          <w:p w14:paraId="5EC99284" w14:textId="77777777" w:rsidR="006D0E92" w:rsidRPr="008646B8" w:rsidRDefault="006D0E92" w:rsidP="006D0E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646B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410" w:type="dxa"/>
          </w:tcPr>
          <w:p w14:paraId="7606B322" w14:textId="7E9D5228" w:rsidR="006D0E92" w:rsidRPr="008646B8" w:rsidRDefault="00B82A8C" w:rsidP="00272F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272F9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5</w:t>
            </w:r>
            <w:r w:rsidR="006D0E9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00</w:t>
            </w:r>
          </w:p>
        </w:tc>
      </w:tr>
      <w:tr w:rsidR="006D0E92" w:rsidRPr="008646B8" w14:paraId="43C39E69" w14:textId="77777777" w:rsidTr="00297878">
        <w:tc>
          <w:tcPr>
            <w:tcW w:w="880" w:type="dxa"/>
          </w:tcPr>
          <w:p w14:paraId="484FD78C" w14:textId="77777777" w:rsidR="006D0E92" w:rsidRPr="008646B8" w:rsidRDefault="006D0E92" w:rsidP="006D0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646B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70" w:type="dxa"/>
          </w:tcPr>
          <w:p w14:paraId="55DFF03B" w14:textId="77777777" w:rsidR="006D0E92" w:rsidRPr="00066553" w:rsidRDefault="006D0E92" w:rsidP="006D0E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6553">
              <w:rPr>
                <w:rFonts w:ascii="Times New Roman" w:hAnsi="Times New Roman"/>
                <w:sz w:val="24"/>
                <w:szCs w:val="24"/>
              </w:rPr>
              <w:t>20 01 31*</w:t>
            </w:r>
            <w:r w:rsidRPr="000665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6553">
              <w:rPr>
                <w:rFonts w:ascii="Times New Roman" w:hAnsi="Times New Roman"/>
                <w:sz w:val="24"/>
                <w:szCs w:val="24"/>
              </w:rPr>
              <w:t xml:space="preserve">Цитотоксичні та </w:t>
            </w:r>
            <w:proofErr w:type="spellStart"/>
            <w:r w:rsidRPr="00066553">
              <w:rPr>
                <w:rFonts w:ascii="Times New Roman" w:hAnsi="Times New Roman"/>
                <w:sz w:val="24"/>
                <w:szCs w:val="24"/>
              </w:rPr>
              <w:t>цитостатичні</w:t>
            </w:r>
            <w:proofErr w:type="spellEnd"/>
            <w:r w:rsidRPr="00066553">
              <w:rPr>
                <w:rFonts w:ascii="Times New Roman" w:hAnsi="Times New Roman"/>
                <w:sz w:val="24"/>
                <w:szCs w:val="24"/>
              </w:rPr>
              <w:t xml:space="preserve"> медикаменти</w:t>
            </w:r>
            <w:r w:rsidRPr="0006655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3A0CE283" w14:textId="0B0FDECE" w:rsidR="006D0E92" w:rsidRPr="008646B8" w:rsidRDefault="006D0E92" w:rsidP="006D0E9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м</w:t>
            </w:r>
            <w:r w:rsidRPr="008646B8"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едичні відходи категорії С (флакони з-під </w:t>
            </w:r>
            <w:proofErr w:type="spellStart"/>
            <w:r w:rsidRPr="008646B8"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цитостатичних</w:t>
            </w:r>
            <w:proofErr w:type="spellEnd"/>
            <w:r w:rsidRPr="008646B8"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засобів, тощо)</w:t>
            </w:r>
          </w:p>
        </w:tc>
        <w:tc>
          <w:tcPr>
            <w:tcW w:w="1550" w:type="dxa"/>
          </w:tcPr>
          <w:p w14:paraId="1B5A8E77" w14:textId="77777777" w:rsidR="006D0E92" w:rsidRPr="008646B8" w:rsidRDefault="006D0E92" w:rsidP="006D0E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646B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410" w:type="dxa"/>
          </w:tcPr>
          <w:p w14:paraId="7C181AA8" w14:textId="1D2B133C" w:rsidR="006D0E92" w:rsidRPr="008646B8" w:rsidRDefault="00B82A8C" w:rsidP="00272F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272F9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5</w:t>
            </w:r>
            <w:r w:rsidR="006D0E9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bookmarkEnd w:id="4"/>
    </w:tbl>
    <w:p w14:paraId="03F1C061" w14:textId="77777777" w:rsidR="008646B8" w:rsidRDefault="008646B8" w:rsidP="0058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3746E" w14:textId="40D64919" w:rsidR="00610BCF" w:rsidRPr="00610BCF" w:rsidRDefault="00610B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B920E1" w14:textId="38DCFDE9" w:rsidR="00610BCF" w:rsidRDefault="00704690" w:rsidP="007046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4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ВИМОГИ ДО УЧАСНИКА</w:t>
      </w:r>
    </w:p>
    <w:p w14:paraId="09922388" w14:textId="77777777" w:rsidR="004E3A27" w:rsidRPr="006031A9" w:rsidRDefault="004E3A27" w:rsidP="004E3A27">
      <w:pPr>
        <w:tabs>
          <w:tab w:val="left" w:pos="941"/>
        </w:tabs>
        <w:suppressAutoHyphens/>
        <w:spacing w:after="0" w:line="240" w:lineRule="auto"/>
        <w:ind w:left="-51"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bookmarkStart w:id="5" w:name="_Hlk155794247"/>
      <w:bookmarkEnd w:id="2"/>
      <w:r w:rsidRPr="006031A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 складі тендерної пропозиції Учасник повинен надати:</w:t>
      </w:r>
    </w:p>
    <w:p w14:paraId="4669C0F1" w14:textId="77777777" w:rsidR="004E3A27" w:rsidRPr="007510F9" w:rsidRDefault="004E3A27" w:rsidP="004E3A27">
      <w:pPr>
        <w:pStyle w:val="a5"/>
        <w:numPr>
          <w:ilvl w:val="0"/>
          <w:numId w:val="10"/>
        </w:numPr>
        <w:tabs>
          <w:tab w:val="left" w:pos="941"/>
        </w:tabs>
        <w:suppressAutoHyphens/>
        <w:spacing w:after="0" w:line="240" w:lineRule="auto"/>
        <w:ind w:left="0" w:firstLine="717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  <w:r w:rsidRPr="007510F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hi-IN" w:bidi="hi-IN"/>
        </w:rPr>
        <w:t>C</w:t>
      </w:r>
      <w:proofErr w:type="spellStart"/>
      <w:r w:rsidRPr="007510F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канований</w:t>
      </w:r>
      <w:proofErr w:type="spellEnd"/>
      <w:r w:rsidRPr="007510F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оригінал Ліцензії або сканований наказ про видачу ліцензії на право провадження господарської діяльності з управління небезпечними відходами, з зазначенням у ній конкретного виду та коду відходів, відповідно до Національного переліку відходів і додатків 8, 9 до Базельської конвенції про контроль за транскордонним перевезенням небезпечних відходів та їх видаленням, та конкретного виду операції, відповідно до вимог Закону України «Про управління відходами. </w:t>
      </w:r>
      <w:r w:rsidRPr="007510F9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 xml:space="preserve">Інформація про зазначену діючу ліцензію повинна бути наявною у переліку ліцензіатів на провадження господарської діяльності із здійснення операцій у сфері поводження з небезпечними відходами, який розміщений на веб-сайті Міністерства екології та природних ресурсів України. У випадку наявності рішення/наказу </w:t>
      </w:r>
      <w:r w:rsidRPr="007510F9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>Міністерства екології та природних ресурсів України про анулювання зазначеної ліцензії, вона є такою, що не надає права на надання послуг з предмету закупівлі.</w:t>
      </w:r>
    </w:p>
    <w:p w14:paraId="621BC1A7" w14:textId="77777777" w:rsidR="004E3A27" w:rsidRDefault="004E3A27" w:rsidP="004E3A27">
      <w:pPr>
        <w:pStyle w:val="a5"/>
        <w:numPr>
          <w:ilvl w:val="0"/>
          <w:numId w:val="10"/>
        </w:numPr>
        <w:tabs>
          <w:tab w:val="left" w:pos="941"/>
        </w:tabs>
        <w:suppressAutoHyphens/>
        <w:spacing w:after="0" w:line="240" w:lineRule="auto"/>
        <w:ind w:left="0" w:firstLine="71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10F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Копі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ю</w:t>
      </w:r>
      <w:r w:rsidRPr="007510F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ліцензії на провадження господарської діяльності з перевезення небезпечних відходів автомобільним транспортом, виданої  Державною службою України з безпеки на транспорті, яка буде дійсною на весь період надання послуг з предмету закупівлі.</w:t>
      </w:r>
    </w:p>
    <w:p w14:paraId="5DE11748" w14:textId="77777777" w:rsidR="004E3A27" w:rsidRDefault="004E3A27" w:rsidP="004E3A27">
      <w:pPr>
        <w:pStyle w:val="a5"/>
        <w:numPr>
          <w:ilvl w:val="0"/>
          <w:numId w:val="10"/>
        </w:numPr>
        <w:tabs>
          <w:tab w:val="left" w:pos="941"/>
        </w:tabs>
        <w:suppressAutoHyphens/>
        <w:spacing w:after="0" w:line="240" w:lineRule="auto"/>
        <w:ind w:left="0" w:firstLine="71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10F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Копі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ю</w:t>
      </w:r>
      <w:r w:rsidRPr="007510F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діючого на момент подачі пропозиції сертифікату ISO 9001-2015 «Системи управління якістю. Вимоги» (ISO 9001-2015 IDT) з відповідним щорічним підтвердженням (якщо воно передбачено)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1F47096A" w14:textId="77777777" w:rsidR="004E3A27" w:rsidRDefault="004E3A27" w:rsidP="004E3A27">
      <w:pPr>
        <w:pStyle w:val="a5"/>
        <w:numPr>
          <w:ilvl w:val="0"/>
          <w:numId w:val="10"/>
        </w:numPr>
        <w:tabs>
          <w:tab w:val="left" w:pos="941"/>
        </w:tabs>
        <w:suppressAutoHyphens/>
        <w:spacing w:after="0" w:line="240" w:lineRule="auto"/>
        <w:ind w:left="0" w:firstLine="71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10F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Копі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ю</w:t>
      </w:r>
      <w:r w:rsidRPr="007510F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діючого на момент подачі пропозиції сертифікату відповідності Учасника системи екологічного управління  ISO 14001:2015 IDT), «Система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510F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екологічного управління. Вимоги та настанови щодо застосування».</w:t>
      </w:r>
    </w:p>
    <w:p w14:paraId="0340DC56" w14:textId="77777777" w:rsidR="004E3A27" w:rsidRPr="007510F9" w:rsidRDefault="004E3A27" w:rsidP="004E3A27">
      <w:pPr>
        <w:pStyle w:val="a5"/>
        <w:numPr>
          <w:ilvl w:val="0"/>
          <w:numId w:val="10"/>
        </w:numPr>
        <w:tabs>
          <w:tab w:val="left" w:pos="941"/>
        </w:tabs>
        <w:suppressAutoHyphens/>
        <w:spacing w:after="0" w:line="240" w:lineRule="auto"/>
        <w:ind w:left="0" w:firstLine="71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10F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Копія діючого на момент подачі пропозиції сертифікату відповідності Учасника ISO 45001:2018 «Системи менеджменту охорони здоров’я та безпеки праці.</w:t>
      </w:r>
    </w:p>
    <w:p w14:paraId="6A5184E3" w14:textId="77777777" w:rsidR="004E3A27" w:rsidRDefault="004E3A27" w:rsidP="004E3A27">
      <w:pPr>
        <w:tabs>
          <w:tab w:val="left" w:pos="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</w:pPr>
      <w:r w:rsidRPr="006031A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           </w:t>
      </w:r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У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складі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тендерної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пропозиції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Учасника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надати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гарантійний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лист у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довільній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формі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за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власноручним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підписом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уповноваженої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особи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Учасника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та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завірений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печаткою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(у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разі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її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використання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)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щодо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дотримання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вимог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із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захисту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довкілля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,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що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передбачені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згідно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Закону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України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«Про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охорону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навколишнього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природного </w:t>
      </w:r>
      <w:proofErr w:type="spellStart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середовища</w:t>
      </w:r>
      <w:proofErr w:type="spellEnd"/>
      <w:r w:rsidRPr="001D4F3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»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hi-IN" w:bidi="hi-IN"/>
        </w:rPr>
        <w:t>.</w:t>
      </w:r>
    </w:p>
    <w:p w14:paraId="58A4175F" w14:textId="77777777" w:rsidR="004E3A27" w:rsidRPr="001D4F37" w:rsidRDefault="004E3A27" w:rsidP="004E3A27">
      <w:pPr>
        <w:tabs>
          <w:tab w:val="left" w:pos="851"/>
        </w:tabs>
        <w:suppressAutoHyphens/>
        <w:spacing w:after="0" w:line="240" w:lineRule="auto"/>
        <w:ind w:firstLine="516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6031A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</w:t>
      </w:r>
      <w:r w:rsidRPr="001D4F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У складі тендерної пропозиції Учасника надати гарантійний лист у довільній формі  щодо забезпечення спеціальними поліетиленовими пакетам Замовника в достатній кількості для відходів  або іншої тари стійкої до механічних пошкоджень, високих та низьких температур (контейнери вторинного пакування мають бути стійкими до мийних і дезінфекційних хімічних засобів, закриватися кришками, їхня конструкція не повинна допускати безконтрольного відкриття) і відповідають</w:t>
      </w:r>
      <w:r w:rsidRPr="001D4F37">
        <w:rPr>
          <w:rFonts w:ascii="Times New Roman" w:eastAsia="Times New Roman" w:hAnsi="Times New Roman" w:cs="Times New Roman"/>
          <w:color w:val="333333"/>
          <w:kern w:val="1"/>
          <w:sz w:val="24"/>
          <w:szCs w:val="24"/>
          <w:lang w:eastAsia="hi-IN" w:bidi="hi-IN"/>
        </w:rPr>
        <w:t> </w:t>
      </w:r>
      <w:hyperlink r:id="rId9">
        <w:r w:rsidRPr="001D4F37">
          <w:rPr>
            <w:rFonts w:ascii="Times New Roman" w:eastAsia="Times New Roman" w:hAnsi="Times New Roman" w:cs="Times New Roman"/>
            <w:color w:val="00000A"/>
            <w:kern w:val="1"/>
            <w:sz w:val="24"/>
            <w:szCs w:val="24"/>
            <w:lang w:eastAsia="hi-IN" w:bidi="hi-IN"/>
          </w:rPr>
          <w:t>Технічному регламенту з підтвердження відповідності пакування (пакувальних матеріалів) та відходів пакування</w:t>
        </w:r>
      </w:hyperlink>
      <w:r w:rsidRPr="001D4F37">
        <w:rPr>
          <w:rFonts w:ascii="Times New Roman" w:eastAsia="Times New Roman" w:hAnsi="Times New Roman" w:cs="Times New Roman"/>
          <w:color w:val="333333"/>
          <w:kern w:val="1"/>
          <w:sz w:val="24"/>
          <w:szCs w:val="24"/>
          <w:lang w:eastAsia="hi-IN" w:bidi="hi-IN"/>
        </w:rPr>
        <w:t xml:space="preserve">, </w:t>
      </w:r>
      <w:r w:rsidRPr="001D4F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затверджених наказом Держспоживстандарту України від 24 грудня 2004 року № 289, зареєстрованого в Міністерстві юстиції України 25 січня 2005 року за № 95/10375 , що унеможливлює їх потрапляння до навколишнього середовища при проведенні операцій поводження з відходами.</w:t>
      </w:r>
    </w:p>
    <w:p w14:paraId="2A21710D" w14:textId="77777777" w:rsidR="004E3A27" w:rsidRPr="006031A9" w:rsidRDefault="004E3A27" w:rsidP="004E3A27">
      <w:pPr>
        <w:tabs>
          <w:tab w:val="left" w:pos="851"/>
        </w:tabs>
        <w:suppressAutoHyphens/>
        <w:spacing w:after="0" w:line="240" w:lineRule="auto"/>
        <w:ind w:firstLine="51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</w:pPr>
      <w:r w:rsidRPr="001D4F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У складі тендерної пропозиції Учасника надати гарантійний лист у довільній формі  про те, що в</w:t>
      </w:r>
      <w:r w:rsidRPr="001D4F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>артість послуг включає всі витрати, пов’язані з предметом закупівлі (сплата податків, обов’язкових платежів, витрати пов’язані з отриманням необхідних дозволів та ліцензій тощо, умови поставки).</w:t>
      </w:r>
    </w:p>
    <w:p w14:paraId="5FFADBE2" w14:textId="77777777" w:rsidR="004E3A27" w:rsidRPr="006031A9" w:rsidRDefault="004E3A27" w:rsidP="004E3A27">
      <w:pPr>
        <w:widowControl w:val="0"/>
        <w:tabs>
          <w:tab w:val="left" w:pos="-180"/>
          <w:tab w:val="left" w:pos="54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6031A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n-US"/>
        </w:rPr>
        <w:tab/>
        <w:t xml:space="preserve">  У складі </w:t>
      </w:r>
      <w:r w:rsidRPr="001D4F3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n-US"/>
        </w:rPr>
        <w:t>тендерної пропозиції Учасника надати гарантійний лист у довільній формі  про те, що учасник зобов’язується на вимогу Замовника надавати фото та відео фіксацію розвантаження</w:t>
      </w:r>
      <w:r w:rsidRPr="001D4F37">
        <w:rPr>
          <w:rFonts w:eastAsia="Times New Roman" w:cs="Tahoma"/>
          <w:color w:val="000000"/>
          <w:kern w:val="3"/>
          <w:sz w:val="24"/>
          <w:szCs w:val="24"/>
          <w:lang w:eastAsia="en-US"/>
        </w:rPr>
        <w:t xml:space="preserve"> </w:t>
      </w:r>
      <w:r w:rsidRPr="001D4F3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n-US"/>
        </w:rPr>
        <w:t>відходів на виробничому майданчику Виконавця та процесом знешкодження відходів, що є предметом закупівлі.</w:t>
      </w:r>
      <w:r w:rsidRPr="006031A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n-US"/>
        </w:rPr>
        <w:t xml:space="preserve"> </w:t>
      </w:r>
    </w:p>
    <w:p w14:paraId="35D256FA" w14:textId="77777777" w:rsidR="004E3A27" w:rsidRPr="006031A9" w:rsidRDefault="004E3A27" w:rsidP="004E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F37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Учасник бере на себе зобов’язання за заявкою Замовника, своєчасно вивозити небезпечні медичні   відходи  незалежно від їх кількості</w:t>
      </w:r>
      <w:r w:rsidRPr="006031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6031A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н</w:t>
      </w:r>
      <w:r w:rsidRPr="006031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підтвердження надати гарантійний лист у складі тендерної пропозиції Учасника</w:t>
      </w:r>
      <w:r w:rsidRPr="006031A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15F818C" w14:textId="77777777" w:rsidR="004E3A27" w:rsidRPr="006031A9" w:rsidRDefault="004E3A27" w:rsidP="004E3A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i/>
          <w:color w:val="000000"/>
          <w:kern w:val="1"/>
          <w:sz w:val="24"/>
          <w:szCs w:val="24"/>
          <w:lang w:eastAsia="hi-IN" w:bidi="hi-IN"/>
        </w:rPr>
      </w:pPr>
      <w:r w:rsidRPr="001D4F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1D4F37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  <w:t>антажно-розвантажувальні роботи повинні здійснюватися учасником за власні кошти.</w:t>
      </w:r>
      <w:r w:rsidRPr="001D4F37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ru-RU" w:eastAsia="hi-IN" w:bidi="hi-IN"/>
        </w:rPr>
        <w:t xml:space="preserve"> </w:t>
      </w:r>
      <w:r w:rsidRPr="001D4F37">
        <w:rPr>
          <w:rFonts w:ascii="Times New Roman" w:eastAsia="Times New Roman" w:hAnsi="Times New Roman" w:cs="Mangal"/>
          <w:i/>
          <w:color w:val="000000"/>
          <w:kern w:val="1"/>
          <w:sz w:val="24"/>
          <w:szCs w:val="24"/>
          <w:lang w:val="ru-RU" w:eastAsia="hi-IN" w:bidi="hi-IN"/>
        </w:rPr>
        <w:t xml:space="preserve">На </w:t>
      </w:r>
      <w:proofErr w:type="spellStart"/>
      <w:r w:rsidRPr="001D4F37">
        <w:rPr>
          <w:rFonts w:ascii="Times New Roman" w:eastAsia="Times New Roman" w:hAnsi="Times New Roman" w:cs="Mangal"/>
          <w:i/>
          <w:color w:val="000000"/>
          <w:kern w:val="1"/>
          <w:sz w:val="24"/>
          <w:szCs w:val="24"/>
          <w:lang w:val="ru-RU" w:eastAsia="hi-IN" w:bidi="hi-IN"/>
        </w:rPr>
        <w:t>підтвердження</w:t>
      </w:r>
      <w:proofErr w:type="spellEnd"/>
      <w:r w:rsidRPr="001D4F37">
        <w:rPr>
          <w:rFonts w:ascii="Times New Roman" w:eastAsia="Times New Roman" w:hAnsi="Times New Roman" w:cs="Mangal"/>
          <w:i/>
          <w:color w:val="000000"/>
          <w:kern w:val="1"/>
          <w:sz w:val="24"/>
          <w:szCs w:val="24"/>
          <w:lang w:val="ru-RU" w:eastAsia="hi-IN" w:bidi="hi-IN"/>
        </w:rPr>
        <w:t xml:space="preserve"> </w:t>
      </w:r>
      <w:proofErr w:type="spellStart"/>
      <w:r w:rsidRPr="001D4F37">
        <w:rPr>
          <w:rFonts w:ascii="Times New Roman" w:eastAsia="Times New Roman" w:hAnsi="Times New Roman" w:cs="Mangal"/>
          <w:i/>
          <w:color w:val="000000"/>
          <w:kern w:val="1"/>
          <w:sz w:val="24"/>
          <w:szCs w:val="24"/>
          <w:lang w:val="ru-RU" w:eastAsia="hi-IN" w:bidi="hi-IN"/>
        </w:rPr>
        <w:t>Учасник</w:t>
      </w:r>
      <w:proofErr w:type="spellEnd"/>
      <w:r w:rsidRPr="001D4F37">
        <w:rPr>
          <w:rFonts w:ascii="Times New Roman" w:eastAsia="Times New Roman" w:hAnsi="Times New Roman" w:cs="Mangal"/>
          <w:i/>
          <w:color w:val="000000"/>
          <w:kern w:val="1"/>
          <w:sz w:val="24"/>
          <w:szCs w:val="24"/>
          <w:lang w:val="ru-RU" w:eastAsia="hi-IN" w:bidi="hi-IN"/>
        </w:rPr>
        <w:t xml:space="preserve"> </w:t>
      </w:r>
      <w:proofErr w:type="spellStart"/>
      <w:r w:rsidRPr="001D4F37">
        <w:rPr>
          <w:rFonts w:ascii="Times New Roman" w:eastAsia="Times New Roman" w:hAnsi="Times New Roman" w:cs="Mangal"/>
          <w:i/>
          <w:color w:val="000000"/>
          <w:kern w:val="1"/>
          <w:sz w:val="24"/>
          <w:szCs w:val="24"/>
          <w:lang w:val="ru-RU" w:eastAsia="hi-IN" w:bidi="hi-IN"/>
        </w:rPr>
        <w:t>нада</w:t>
      </w:r>
      <w:proofErr w:type="spellEnd"/>
      <w:r w:rsidRPr="001D4F37">
        <w:rPr>
          <w:rFonts w:ascii="Times New Roman" w:eastAsia="Times New Roman" w:hAnsi="Times New Roman" w:cs="Mangal"/>
          <w:i/>
          <w:color w:val="000000"/>
          <w:kern w:val="1"/>
          <w:sz w:val="24"/>
          <w:szCs w:val="24"/>
          <w:lang w:eastAsia="hi-IN" w:bidi="hi-IN"/>
        </w:rPr>
        <w:t>є</w:t>
      </w:r>
      <w:r w:rsidRPr="001D4F37">
        <w:rPr>
          <w:rFonts w:ascii="Times New Roman" w:eastAsia="Times New Roman" w:hAnsi="Times New Roman" w:cs="Mangal"/>
          <w:i/>
          <w:color w:val="000000"/>
          <w:kern w:val="1"/>
          <w:sz w:val="24"/>
          <w:szCs w:val="24"/>
          <w:lang w:val="ru-RU" w:eastAsia="hi-IN" w:bidi="hi-IN"/>
        </w:rPr>
        <w:t xml:space="preserve"> </w:t>
      </w:r>
      <w:r w:rsidRPr="001D4F37">
        <w:rPr>
          <w:rFonts w:ascii="Times New Roman" w:eastAsia="Times New Roman" w:hAnsi="Times New Roman" w:cs="Mangal"/>
          <w:i/>
          <w:color w:val="000000"/>
          <w:kern w:val="1"/>
          <w:sz w:val="24"/>
          <w:szCs w:val="24"/>
          <w:lang w:eastAsia="hi-IN" w:bidi="hi-IN"/>
        </w:rPr>
        <w:t>у складі своєї пропозиції відповідний гарантійний лист у довільній формі.</w:t>
      </w:r>
    </w:p>
    <w:bookmarkEnd w:id="5"/>
    <w:p w14:paraId="5F4F670B" w14:textId="2564B87A" w:rsidR="00610BCF" w:rsidRPr="00610BCF" w:rsidRDefault="00610BCF" w:rsidP="00610B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</w:pPr>
      <w:r w:rsidRPr="00610B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  <w:t xml:space="preserve">Ми (Я), _________________ у разі отримання повідомлення про намір укласти договір та укладення Договору  із Замовником про </w:t>
      </w:r>
      <w:r w:rsidR="00D2451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  <w:t>надання послуг</w:t>
      </w:r>
      <w:r w:rsidRPr="00610B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  <w:t xml:space="preserve"> згодні та підтверджуємо свою можливість і готовність виконувати усі Технічні вимоги Замовника, зазначені у цій тендерній документації</w:t>
      </w:r>
      <w:r w:rsidRPr="00610B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>.</w:t>
      </w:r>
    </w:p>
    <w:p w14:paraId="0430F7E0" w14:textId="77777777" w:rsidR="00610BCF" w:rsidRPr="00610BCF" w:rsidRDefault="00610BCF" w:rsidP="00610B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  <w:r w:rsidRPr="00610B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  <w:t xml:space="preserve">                 </w:t>
      </w:r>
    </w:p>
    <w:p w14:paraId="65A20EE9" w14:textId="77777777" w:rsidR="00610BCF" w:rsidRPr="00610BCF" w:rsidRDefault="00610BCF" w:rsidP="00610B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  <w:r w:rsidRPr="00610B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  <w:t>Дата: _____________                                         ________________ (підпис)</w:t>
      </w:r>
    </w:p>
    <w:p w14:paraId="55CFC48B" w14:textId="1EB3F12C" w:rsidR="004E3A27" w:rsidRDefault="004E3A27" w:rsidP="00610BCF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7837F54E" w14:textId="15CAA6C0" w:rsidR="004E3A27" w:rsidRDefault="004E3A27" w:rsidP="00610BCF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1A6BDF81" w14:textId="376A23D7" w:rsidR="004E3A27" w:rsidRDefault="004E3A27" w:rsidP="00610BCF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7DEDCFFC" w14:textId="2750F16E" w:rsidR="004E3A27" w:rsidRDefault="004E3A27" w:rsidP="00610BCF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674ADE9A" w14:textId="3E4AAB63" w:rsidR="004E3A27" w:rsidRDefault="004E3A27" w:rsidP="00610BCF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bookmarkEnd w:id="0"/>
    <w:p w14:paraId="519DCEF4" w14:textId="2E194640" w:rsidR="004E3A27" w:rsidRDefault="004E3A27" w:rsidP="00610BCF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sectPr w:rsidR="004E3A27" w:rsidSect="00BC5DA4"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0D652" w14:textId="77777777" w:rsidR="00C90DB5" w:rsidRDefault="00C90DB5">
      <w:pPr>
        <w:spacing w:after="0" w:line="240" w:lineRule="auto"/>
      </w:pPr>
      <w:r>
        <w:separator/>
      </w:r>
    </w:p>
  </w:endnote>
  <w:endnote w:type="continuationSeparator" w:id="0">
    <w:p w14:paraId="00F38AF4" w14:textId="77777777" w:rsidR="00C90DB5" w:rsidRDefault="00C9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928440"/>
      <w:docPartObj>
        <w:docPartGallery w:val="Page Numbers (Bottom of Page)"/>
        <w:docPartUnique/>
      </w:docPartObj>
    </w:sdtPr>
    <w:sdtEndPr/>
    <w:sdtContent>
      <w:p w14:paraId="559BDF3D" w14:textId="6FF3311C" w:rsidR="007B4751" w:rsidRDefault="007B475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5AC" w:rsidRPr="00AB45AC">
          <w:rPr>
            <w:noProof/>
            <w:lang w:val="ru-RU"/>
          </w:rPr>
          <w:t>3</w:t>
        </w:r>
        <w:r>
          <w:fldChar w:fldCharType="end"/>
        </w:r>
      </w:p>
    </w:sdtContent>
  </w:sdt>
  <w:p w14:paraId="341AD13B" w14:textId="7D93F802" w:rsidR="007B4751" w:rsidRDefault="007B4751" w:rsidP="00BD7B37">
    <w:pPr>
      <w:tabs>
        <w:tab w:val="left" w:pos="415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9C672" w14:textId="5BE52E01" w:rsidR="007B4751" w:rsidRDefault="007B4751">
    <w:pPr>
      <w:pStyle w:val="af4"/>
      <w:jc w:val="center"/>
    </w:pPr>
  </w:p>
  <w:p w14:paraId="0CAE124A" w14:textId="77777777" w:rsidR="007B4751" w:rsidRDefault="007B47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7C7AD" w14:textId="77777777" w:rsidR="00C90DB5" w:rsidRDefault="00C90DB5">
      <w:pPr>
        <w:spacing w:after="0" w:line="240" w:lineRule="auto"/>
      </w:pPr>
      <w:r>
        <w:separator/>
      </w:r>
    </w:p>
  </w:footnote>
  <w:footnote w:type="continuationSeparator" w:id="0">
    <w:p w14:paraId="3F112ECB" w14:textId="77777777" w:rsidR="00C90DB5" w:rsidRDefault="00C9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4BE5B" w14:textId="77777777" w:rsidR="007B4751" w:rsidRDefault="007B475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4EB9"/>
    <w:multiLevelType w:val="hybridMultilevel"/>
    <w:tmpl w:val="1D18A1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3B3F"/>
    <w:multiLevelType w:val="hybridMultilevel"/>
    <w:tmpl w:val="03FAD348"/>
    <w:lvl w:ilvl="0" w:tplc="7506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E660D"/>
    <w:multiLevelType w:val="multilevel"/>
    <w:tmpl w:val="0EA2C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1B0F26"/>
    <w:multiLevelType w:val="hybridMultilevel"/>
    <w:tmpl w:val="333A956C"/>
    <w:lvl w:ilvl="0" w:tplc="3C6EA89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i w:val="0"/>
      </w:rPr>
    </w:lvl>
    <w:lvl w:ilvl="1" w:tplc="200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2162B3A"/>
    <w:multiLevelType w:val="hybridMultilevel"/>
    <w:tmpl w:val="03FAD348"/>
    <w:lvl w:ilvl="0" w:tplc="7506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F2D82"/>
    <w:multiLevelType w:val="hybridMultilevel"/>
    <w:tmpl w:val="716C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33C8E"/>
    <w:multiLevelType w:val="hybridMultilevel"/>
    <w:tmpl w:val="EB140984"/>
    <w:lvl w:ilvl="0" w:tplc="47F884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72A71"/>
    <w:multiLevelType w:val="multilevel"/>
    <w:tmpl w:val="CFDEEEB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8">
    <w:nsid w:val="5A595CDB"/>
    <w:multiLevelType w:val="hybridMultilevel"/>
    <w:tmpl w:val="1090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40B6D"/>
    <w:multiLevelType w:val="hybridMultilevel"/>
    <w:tmpl w:val="E63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18"/>
    <w:rsid w:val="00002CD5"/>
    <w:rsid w:val="00015CC9"/>
    <w:rsid w:val="0002078C"/>
    <w:rsid w:val="00022BA4"/>
    <w:rsid w:val="00023FEB"/>
    <w:rsid w:val="0003711F"/>
    <w:rsid w:val="000558AD"/>
    <w:rsid w:val="00056022"/>
    <w:rsid w:val="00061C14"/>
    <w:rsid w:val="00065FF0"/>
    <w:rsid w:val="00084DB7"/>
    <w:rsid w:val="00096BB5"/>
    <w:rsid w:val="00096CCE"/>
    <w:rsid w:val="000A101B"/>
    <w:rsid w:val="000C3BC6"/>
    <w:rsid w:val="000C79A7"/>
    <w:rsid w:val="000D769F"/>
    <w:rsid w:val="000E014C"/>
    <w:rsid w:val="000F25A2"/>
    <w:rsid w:val="00102984"/>
    <w:rsid w:val="00113824"/>
    <w:rsid w:val="00124CE5"/>
    <w:rsid w:val="00136086"/>
    <w:rsid w:val="00142A5C"/>
    <w:rsid w:val="00142E88"/>
    <w:rsid w:val="00145E86"/>
    <w:rsid w:val="00147805"/>
    <w:rsid w:val="0015135B"/>
    <w:rsid w:val="001522B8"/>
    <w:rsid w:val="00160663"/>
    <w:rsid w:val="001644B0"/>
    <w:rsid w:val="0017333B"/>
    <w:rsid w:val="001803AE"/>
    <w:rsid w:val="00181A69"/>
    <w:rsid w:val="00182896"/>
    <w:rsid w:val="00184F38"/>
    <w:rsid w:val="00187700"/>
    <w:rsid w:val="00191388"/>
    <w:rsid w:val="001964C5"/>
    <w:rsid w:val="00197211"/>
    <w:rsid w:val="001B3012"/>
    <w:rsid w:val="001B3C1B"/>
    <w:rsid w:val="001B6563"/>
    <w:rsid w:val="001E7E00"/>
    <w:rsid w:val="001F3E66"/>
    <w:rsid w:val="001F52B2"/>
    <w:rsid w:val="00212CBC"/>
    <w:rsid w:val="002163DC"/>
    <w:rsid w:val="002213A4"/>
    <w:rsid w:val="002312FB"/>
    <w:rsid w:val="00243FEB"/>
    <w:rsid w:val="00244DB7"/>
    <w:rsid w:val="00246642"/>
    <w:rsid w:val="00254118"/>
    <w:rsid w:val="0026474A"/>
    <w:rsid w:val="00270EAC"/>
    <w:rsid w:val="00271B55"/>
    <w:rsid w:val="00272F91"/>
    <w:rsid w:val="002902C9"/>
    <w:rsid w:val="00291144"/>
    <w:rsid w:val="002957BF"/>
    <w:rsid w:val="00297878"/>
    <w:rsid w:val="002A3606"/>
    <w:rsid w:val="002A75D3"/>
    <w:rsid w:val="002B756B"/>
    <w:rsid w:val="002C558D"/>
    <w:rsid w:val="002E0334"/>
    <w:rsid w:val="002E0908"/>
    <w:rsid w:val="002E502F"/>
    <w:rsid w:val="002F75F6"/>
    <w:rsid w:val="002F7AA4"/>
    <w:rsid w:val="003030D2"/>
    <w:rsid w:val="00315801"/>
    <w:rsid w:val="00333400"/>
    <w:rsid w:val="0034241C"/>
    <w:rsid w:val="0034530D"/>
    <w:rsid w:val="00350CB0"/>
    <w:rsid w:val="003656F1"/>
    <w:rsid w:val="00377B93"/>
    <w:rsid w:val="0038006F"/>
    <w:rsid w:val="00387AD7"/>
    <w:rsid w:val="00393A1D"/>
    <w:rsid w:val="003A7CF5"/>
    <w:rsid w:val="003E0C5A"/>
    <w:rsid w:val="003E4FF1"/>
    <w:rsid w:val="003E78BD"/>
    <w:rsid w:val="004104DE"/>
    <w:rsid w:val="0041301E"/>
    <w:rsid w:val="00413477"/>
    <w:rsid w:val="00416EB0"/>
    <w:rsid w:val="00425056"/>
    <w:rsid w:val="004256B2"/>
    <w:rsid w:val="00427EB4"/>
    <w:rsid w:val="00433A41"/>
    <w:rsid w:val="004356E1"/>
    <w:rsid w:val="0044738A"/>
    <w:rsid w:val="00462622"/>
    <w:rsid w:val="00462DA8"/>
    <w:rsid w:val="00473447"/>
    <w:rsid w:val="00485472"/>
    <w:rsid w:val="004A6E45"/>
    <w:rsid w:val="004A74C9"/>
    <w:rsid w:val="004B035C"/>
    <w:rsid w:val="004C54A8"/>
    <w:rsid w:val="004E14D4"/>
    <w:rsid w:val="004E17E0"/>
    <w:rsid w:val="004E3A27"/>
    <w:rsid w:val="004F0E6F"/>
    <w:rsid w:val="00504797"/>
    <w:rsid w:val="00506206"/>
    <w:rsid w:val="005212C8"/>
    <w:rsid w:val="00531D8D"/>
    <w:rsid w:val="005333E7"/>
    <w:rsid w:val="00546457"/>
    <w:rsid w:val="00555229"/>
    <w:rsid w:val="00555859"/>
    <w:rsid w:val="005572B9"/>
    <w:rsid w:val="00557A40"/>
    <w:rsid w:val="00584125"/>
    <w:rsid w:val="00585A09"/>
    <w:rsid w:val="005A4AB9"/>
    <w:rsid w:val="005A791A"/>
    <w:rsid w:val="005B25BE"/>
    <w:rsid w:val="005B3851"/>
    <w:rsid w:val="005C7A92"/>
    <w:rsid w:val="005D2FD3"/>
    <w:rsid w:val="005D61F6"/>
    <w:rsid w:val="0060122E"/>
    <w:rsid w:val="006031A9"/>
    <w:rsid w:val="00610BCF"/>
    <w:rsid w:val="006156E0"/>
    <w:rsid w:val="0062105C"/>
    <w:rsid w:val="00625D29"/>
    <w:rsid w:val="006266B5"/>
    <w:rsid w:val="00627F7A"/>
    <w:rsid w:val="00630DB9"/>
    <w:rsid w:val="006509F2"/>
    <w:rsid w:val="0065646B"/>
    <w:rsid w:val="006567DA"/>
    <w:rsid w:val="00677AD7"/>
    <w:rsid w:val="00691D86"/>
    <w:rsid w:val="006B6758"/>
    <w:rsid w:val="006C50AD"/>
    <w:rsid w:val="006D0577"/>
    <w:rsid w:val="006D0E92"/>
    <w:rsid w:val="006D7B26"/>
    <w:rsid w:val="006E0BC5"/>
    <w:rsid w:val="006F3FE2"/>
    <w:rsid w:val="006F7714"/>
    <w:rsid w:val="00704690"/>
    <w:rsid w:val="0071664A"/>
    <w:rsid w:val="00731B3C"/>
    <w:rsid w:val="0073336E"/>
    <w:rsid w:val="00735FFA"/>
    <w:rsid w:val="00744484"/>
    <w:rsid w:val="00744954"/>
    <w:rsid w:val="0075026B"/>
    <w:rsid w:val="007526AC"/>
    <w:rsid w:val="0075711F"/>
    <w:rsid w:val="007737F8"/>
    <w:rsid w:val="007756CB"/>
    <w:rsid w:val="007960BF"/>
    <w:rsid w:val="00796C15"/>
    <w:rsid w:val="007A408B"/>
    <w:rsid w:val="007B4751"/>
    <w:rsid w:val="007D594D"/>
    <w:rsid w:val="00801704"/>
    <w:rsid w:val="008242D9"/>
    <w:rsid w:val="00824738"/>
    <w:rsid w:val="008313BC"/>
    <w:rsid w:val="008321CE"/>
    <w:rsid w:val="00844AC9"/>
    <w:rsid w:val="00855908"/>
    <w:rsid w:val="008646B8"/>
    <w:rsid w:val="00881CDB"/>
    <w:rsid w:val="008966D6"/>
    <w:rsid w:val="008A50DA"/>
    <w:rsid w:val="008B4167"/>
    <w:rsid w:val="008F10D2"/>
    <w:rsid w:val="00904292"/>
    <w:rsid w:val="00930B62"/>
    <w:rsid w:val="00933613"/>
    <w:rsid w:val="00937BA0"/>
    <w:rsid w:val="00940353"/>
    <w:rsid w:val="00943706"/>
    <w:rsid w:val="00955E85"/>
    <w:rsid w:val="00964325"/>
    <w:rsid w:val="00965749"/>
    <w:rsid w:val="00975BE6"/>
    <w:rsid w:val="009821AB"/>
    <w:rsid w:val="00985584"/>
    <w:rsid w:val="00986DB5"/>
    <w:rsid w:val="00990D24"/>
    <w:rsid w:val="00991BAE"/>
    <w:rsid w:val="009A7F04"/>
    <w:rsid w:val="009B4FBD"/>
    <w:rsid w:val="009B78B1"/>
    <w:rsid w:val="009C5172"/>
    <w:rsid w:val="009D3A64"/>
    <w:rsid w:val="009E0514"/>
    <w:rsid w:val="009E0AA2"/>
    <w:rsid w:val="009E51F4"/>
    <w:rsid w:val="009E5D89"/>
    <w:rsid w:val="009E6021"/>
    <w:rsid w:val="009F0F41"/>
    <w:rsid w:val="009F1088"/>
    <w:rsid w:val="00A357BE"/>
    <w:rsid w:val="00A364A3"/>
    <w:rsid w:val="00A61336"/>
    <w:rsid w:val="00A66F28"/>
    <w:rsid w:val="00A67356"/>
    <w:rsid w:val="00A725B9"/>
    <w:rsid w:val="00A76EDC"/>
    <w:rsid w:val="00A82689"/>
    <w:rsid w:val="00A96241"/>
    <w:rsid w:val="00AA0041"/>
    <w:rsid w:val="00AB09A5"/>
    <w:rsid w:val="00AB1F59"/>
    <w:rsid w:val="00AB45AC"/>
    <w:rsid w:val="00AC35C0"/>
    <w:rsid w:val="00AC4183"/>
    <w:rsid w:val="00AD2C36"/>
    <w:rsid w:val="00AE2306"/>
    <w:rsid w:val="00AE57C3"/>
    <w:rsid w:val="00AF0CA4"/>
    <w:rsid w:val="00B1658E"/>
    <w:rsid w:val="00B22E0B"/>
    <w:rsid w:val="00B27249"/>
    <w:rsid w:val="00B4149E"/>
    <w:rsid w:val="00B458D6"/>
    <w:rsid w:val="00B57593"/>
    <w:rsid w:val="00B60ADC"/>
    <w:rsid w:val="00B74B5A"/>
    <w:rsid w:val="00B82A8C"/>
    <w:rsid w:val="00B8355A"/>
    <w:rsid w:val="00B903BA"/>
    <w:rsid w:val="00B93070"/>
    <w:rsid w:val="00B9719D"/>
    <w:rsid w:val="00BA326D"/>
    <w:rsid w:val="00BB103B"/>
    <w:rsid w:val="00BC5AC6"/>
    <w:rsid w:val="00BC5DA4"/>
    <w:rsid w:val="00BC6A37"/>
    <w:rsid w:val="00BD5204"/>
    <w:rsid w:val="00BD7B37"/>
    <w:rsid w:val="00BD7B77"/>
    <w:rsid w:val="00C120BA"/>
    <w:rsid w:val="00C13507"/>
    <w:rsid w:val="00C14440"/>
    <w:rsid w:val="00C16CD9"/>
    <w:rsid w:val="00C27A1C"/>
    <w:rsid w:val="00C4530F"/>
    <w:rsid w:val="00C47E68"/>
    <w:rsid w:val="00C5040D"/>
    <w:rsid w:val="00C52893"/>
    <w:rsid w:val="00C57184"/>
    <w:rsid w:val="00C66F3A"/>
    <w:rsid w:val="00C74819"/>
    <w:rsid w:val="00C8422D"/>
    <w:rsid w:val="00C8780D"/>
    <w:rsid w:val="00C87D02"/>
    <w:rsid w:val="00C90DB5"/>
    <w:rsid w:val="00C92AEA"/>
    <w:rsid w:val="00CB4150"/>
    <w:rsid w:val="00CB5974"/>
    <w:rsid w:val="00CC4741"/>
    <w:rsid w:val="00CC7B44"/>
    <w:rsid w:val="00CD7529"/>
    <w:rsid w:val="00CE6083"/>
    <w:rsid w:val="00CE7789"/>
    <w:rsid w:val="00CE7995"/>
    <w:rsid w:val="00D01E40"/>
    <w:rsid w:val="00D06930"/>
    <w:rsid w:val="00D141F3"/>
    <w:rsid w:val="00D14E8F"/>
    <w:rsid w:val="00D20330"/>
    <w:rsid w:val="00D24516"/>
    <w:rsid w:val="00D303A1"/>
    <w:rsid w:val="00D325C6"/>
    <w:rsid w:val="00D32657"/>
    <w:rsid w:val="00D342B6"/>
    <w:rsid w:val="00D45423"/>
    <w:rsid w:val="00D573D2"/>
    <w:rsid w:val="00D77E6A"/>
    <w:rsid w:val="00D8670C"/>
    <w:rsid w:val="00D87EB7"/>
    <w:rsid w:val="00D968E1"/>
    <w:rsid w:val="00DA3DAE"/>
    <w:rsid w:val="00DB3039"/>
    <w:rsid w:val="00DD11E8"/>
    <w:rsid w:val="00DF042D"/>
    <w:rsid w:val="00DF386B"/>
    <w:rsid w:val="00DF3B44"/>
    <w:rsid w:val="00E2187A"/>
    <w:rsid w:val="00E23F77"/>
    <w:rsid w:val="00E448EC"/>
    <w:rsid w:val="00E4526C"/>
    <w:rsid w:val="00E50C2B"/>
    <w:rsid w:val="00E67F02"/>
    <w:rsid w:val="00E75387"/>
    <w:rsid w:val="00E76BE7"/>
    <w:rsid w:val="00E7708D"/>
    <w:rsid w:val="00E77A94"/>
    <w:rsid w:val="00E807BA"/>
    <w:rsid w:val="00E93918"/>
    <w:rsid w:val="00EB058D"/>
    <w:rsid w:val="00EB4EDC"/>
    <w:rsid w:val="00EB74E0"/>
    <w:rsid w:val="00EC58FC"/>
    <w:rsid w:val="00EC7E46"/>
    <w:rsid w:val="00ED23D8"/>
    <w:rsid w:val="00ED2EF7"/>
    <w:rsid w:val="00ED7CE0"/>
    <w:rsid w:val="00EF02CF"/>
    <w:rsid w:val="00EF03D3"/>
    <w:rsid w:val="00F013FF"/>
    <w:rsid w:val="00F10F06"/>
    <w:rsid w:val="00F157AF"/>
    <w:rsid w:val="00F25FA9"/>
    <w:rsid w:val="00F35F86"/>
    <w:rsid w:val="00F362CA"/>
    <w:rsid w:val="00F42B1D"/>
    <w:rsid w:val="00F54853"/>
    <w:rsid w:val="00F60DCC"/>
    <w:rsid w:val="00F620F6"/>
    <w:rsid w:val="00F65108"/>
    <w:rsid w:val="00F66BD5"/>
    <w:rsid w:val="00F810BB"/>
    <w:rsid w:val="00F82EB7"/>
    <w:rsid w:val="00F93468"/>
    <w:rsid w:val="00F9401A"/>
    <w:rsid w:val="00FA29F0"/>
    <w:rsid w:val="00FB29F0"/>
    <w:rsid w:val="00FB53BE"/>
    <w:rsid w:val="00FC7EA3"/>
    <w:rsid w:val="00FD2E76"/>
    <w:rsid w:val="00FD3339"/>
    <w:rsid w:val="00FD3734"/>
    <w:rsid w:val="00FE04E0"/>
    <w:rsid w:val="00FE0938"/>
    <w:rsid w:val="00FE3EA6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948AE"/>
  <w15:docId w15:val="{7D8B1C54-E179-461B-9BD1-3046807B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9">
    <w:name w:val="Normal (Web)"/>
    <w:aliases w:val="Обычный (Web)"/>
    <w:basedOn w:val="a"/>
    <w:link w:val="a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20">
    <w:name w:val="2"/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F0EB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0E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F0EB8"/>
    <w:rPr>
      <w:b/>
      <w:bCs/>
      <w:sz w:val="20"/>
      <w:szCs w:val="20"/>
    </w:rPr>
  </w:style>
  <w:style w:type="table" w:customStyle="1" w:styleId="11">
    <w:name w:val="1"/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link w:val="32"/>
    <w:uiPriority w:val="99"/>
    <w:locked/>
    <w:rsid w:val="00BC5DA4"/>
    <w:rPr>
      <w:b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BC5DA4"/>
    <w:pPr>
      <w:widowControl w:val="0"/>
      <w:shd w:val="clear" w:color="auto" w:fill="FFFFFF"/>
      <w:spacing w:after="0" w:line="269" w:lineRule="exact"/>
      <w:jc w:val="both"/>
      <w:outlineLvl w:val="2"/>
    </w:pPr>
    <w:rPr>
      <w:b/>
    </w:rPr>
  </w:style>
  <w:style w:type="table" w:customStyle="1" w:styleId="12">
    <w:name w:val="Сетка таблицы1"/>
    <w:basedOn w:val="a1"/>
    <w:next w:val="a4"/>
    <w:uiPriority w:val="59"/>
    <w:rsid w:val="00585A0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35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50CB0"/>
  </w:style>
  <w:style w:type="paragraph" w:styleId="af4">
    <w:name w:val="footer"/>
    <w:basedOn w:val="a"/>
    <w:link w:val="af5"/>
    <w:uiPriority w:val="99"/>
    <w:unhideWhenUsed/>
    <w:rsid w:val="0035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50CB0"/>
  </w:style>
  <w:style w:type="paragraph" w:styleId="af6">
    <w:name w:val="No Spacing"/>
    <w:uiPriority w:val="1"/>
    <w:qFormat/>
    <w:rsid w:val="00C5040D"/>
    <w:pPr>
      <w:spacing w:after="0" w:line="240" w:lineRule="auto"/>
    </w:pPr>
    <w:rPr>
      <w:rFonts w:cs="Times New Roman"/>
      <w:lang w:eastAsia="en-US"/>
    </w:rPr>
  </w:style>
  <w:style w:type="character" w:customStyle="1" w:styleId="41">
    <w:name w:val="Основной шрифт абзаца4"/>
    <w:qFormat/>
    <w:rsid w:val="00CB4150"/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F82EB7"/>
    <w:rPr>
      <w:rFonts w:ascii="Times New Roman" w:eastAsia="Times New Roman" w:hAnsi="Times New Roman" w:cs="Times New Roman"/>
      <w:sz w:val="24"/>
      <w:szCs w:val="24"/>
    </w:rPr>
  </w:style>
  <w:style w:type="table" w:customStyle="1" w:styleId="33">
    <w:name w:val="Стиль3"/>
    <w:basedOn w:val="TableNormal4"/>
    <w:uiPriority w:val="99"/>
    <w:rsid w:val="00937BA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z0095-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6EADA8-3886-43D0-A567-2AE1EDDA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buh</cp:lastModifiedBy>
  <cp:revision>3</cp:revision>
  <cp:lastPrinted>2024-01-05T11:39:00Z</cp:lastPrinted>
  <dcterms:created xsi:type="dcterms:W3CDTF">2024-03-01T07:09:00Z</dcterms:created>
  <dcterms:modified xsi:type="dcterms:W3CDTF">2024-03-01T07:11:00Z</dcterms:modified>
</cp:coreProperties>
</file>