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3" w:rsidRPr="008E0BE8" w:rsidRDefault="00A032B3" w:rsidP="00A032B3">
      <w:pPr>
        <w:keepNext/>
        <w:spacing w:line="240" w:lineRule="auto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B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Кисень газоподібний медичний</w:t>
      </w:r>
    </w:p>
    <w:p w:rsidR="00A032B3" w:rsidRPr="008E0BE8" w:rsidRDefault="00A032B3" w:rsidP="00A03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 </w:t>
      </w:r>
      <w:r w:rsidRPr="008E0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ДК 021:2015: </w:t>
      </w:r>
      <w:r w:rsidRPr="008E0BE8">
        <w:rPr>
          <w:rStyle w:val="qaclassifierdescrcod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24110000-8</w:t>
      </w:r>
      <w:r w:rsidRPr="008E0BE8">
        <w:rPr>
          <w:rStyle w:val="qaclassifierdescr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8E0BE8">
        <w:rPr>
          <w:rStyle w:val="qaclassifierdescrprimary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Промислові гази</w:t>
      </w:r>
    </w:p>
    <w:p w:rsidR="00A032B3" w:rsidRPr="008E0BE8" w:rsidRDefault="00A032B3" w:rsidP="00A03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E8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A032B3" w:rsidRDefault="00A032B3" w:rsidP="00A032B3">
      <w:pPr>
        <w:suppressAutoHyphens/>
        <w:spacing w:line="276" w:lineRule="auto"/>
        <w:ind w:firstLine="567"/>
        <w:jc w:val="center"/>
        <w:rPr>
          <w:lang w:eastAsia="zh-CN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394"/>
        <w:gridCol w:w="4676"/>
        <w:gridCol w:w="992"/>
        <w:gridCol w:w="851"/>
      </w:tblGrid>
      <w:tr w:rsidR="00A032B3" w:rsidTr="007D602F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</w:rPr>
            </w:pPr>
            <w:r w:rsidRPr="00687449">
              <w:rPr>
                <w:rFonts w:ascii="Times New Roman" w:hAnsi="Times New Roman" w:cs="Times New Roman"/>
                <w:bCs/>
                <w:iCs/>
                <w:spacing w:val="3"/>
              </w:rPr>
              <w:t>№ п/п</w:t>
            </w:r>
          </w:p>
        </w:tc>
        <w:tc>
          <w:tcPr>
            <w:tcW w:w="7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687449">
              <w:rPr>
                <w:rFonts w:ascii="Times New Roman" w:hAnsi="Times New Roman" w:cs="Times New Roman"/>
                <w:spacing w:val="3"/>
              </w:rPr>
              <w:t>Найменування предмету закупівлі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</w:rPr>
            </w:pPr>
            <w:r w:rsidRPr="00687449">
              <w:rPr>
                <w:rFonts w:ascii="Times New Roman" w:hAnsi="Times New Roman" w:cs="Times New Roman"/>
                <w:bCs/>
                <w:iCs/>
                <w:spacing w:val="3"/>
              </w:rPr>
              <w:t>Одиниці</w:t>
            </w:r>
          </w:p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</w:rPr>
            </w:pPr>
            <w:r w:rsidRPr="00687449">
              <w:rPr>
                <w:rFonts w:ascii="Times New Roman" w:hAnsi="Times New Roman" w:cs="Times New Roman"/>
                <w:bCs/>
                <w:iCs/>
                <w:spacing w:val="3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</w:rPr>
            </w:pPr>
            <w:r w:rsidRPr="00687449">
              <w:rPr>
                <w:rFonts w:ascii="Times New Roman" w:hAnsi="Times New Roman" w:cs="Times New Roman"/>
                <w:bCs/>
                <w:iCs/>
                <w:spacing w:val="3"/>
              </w:rPr>
              <w:t>Кількість</w:t>
            </w:r>
          </w:p>
        </w:tc>
      </w:tr>
      <w:tr w:rsidR="00A032B3" w:rsidTr="007D602F">
        <w:trPr>
          <w:trHeight w:val="43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3"/>
              </w:rPr>
            </w:pPr>
            <w:r w:rsidRPr="00687449">
              <w:rPr>
                <w:rFonts w:ascii="Times New Roman" w:hAnsi="Times New Roman" w:cs="Times New Roman"/>
                <w:b/>
                <w:bCs/>
                <w:iCs/>
                <w:spacing w:val="3"/>
              </w:rPr>
              <w:t>1</w:t>
            </w:r>
          </w:p>
        </w:tc>
        <w:tc>
          <w:tcPr>
            <w:tcW w:w="70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687449">
              <w:rPr>
                <w:rFonts w:ascii="Times New Roman" w:hAnsi="Times New Roman" w:cs="Times New Roman"/>
                <w:spacing w:val="3"/>
              </w:rPr>
              <w:t>Кисень газоподібний медичний (40 л)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jc w:val="center"/>
              <w:rPr>
                <w:rFonts w:ascii="Times New Roman" w:hAnsi="Times New Roman" w:cs="Times New Roman"/>
                <w:b/>
                <w:spacing w:val="3"/>
              </w:rPr>
            </w:pPr>
            <w:r w:rsidRPr="00687449">
              <w:rPr>
                <w:rFonts w:ascii="Times New Roman" w:hAnsi="Times New Roman" w:cs="Times New Roman"/>
                <w:b/>
                <w:bCs/>
                <w:iCs/>
                <w:spacing w:val="3"/>
              </w:rPr>
              <w:t xml:space="preserve">Бал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687449" w:rsidRDefault="00A032B3" w:rsidP="007D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3"/>
              </w:rPr>
            </w:pPr>
            <w:r w:rsidRPr="00687449">
              <w:rPr>
                <w:rFonts w:ascii="Times New Roman" w:hAnsi="Times New Roman" w:cs="Times New Roman"/>
                <w:b/>
                <w:spacing w:val="3"/>
              </w:rPr>
              <w:t>30</w:t>
            </w:r>
          </w:p>
        </w:tc>
      </w:tr>
      <w:tr w:rsidR="00A032B3" w:rsidTr="007D602F">
        <w:trPr>
          <w:trHeight w:val="33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Опис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Газ без кольору, без смаку, малорозчинний у воді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30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Запах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Відсутній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25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 xml:space="preserve">Об’ємна частка водяних парів, %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Не більше 0,0067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2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Номінальний тиск, МПа (</w:t>
            </w:r>
            <w:proofErr w:type="spellStart"/>
            <w:r w:rsidRPr="008E0BE8">
              <w:rPr>
                <w:rFonts w:ascii="Times New Roman" w:hAnsi="Times New Roman" w:cs="Times New Roman"/>
                <w:b/>
                <w:spacing w:val="3"/>
              </w:rPr>
              <w:t>кгс</w:t>
            </w:r>
            <w:proofErr w:type="spellEnd"/>
            <w:r w:rsidRPr="008E0BE8">
              <w:rPr>
                <w:rFonts w:ascii="Times New Roman" w:hAnsi="Times New Roman" w:cs="Times New Roman"/>
                <w:b/>
                <w:spacing w:val="3"/>
              </w:rPr>
              <w:t>/см2)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14,7±0,5 (150±5)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67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Об’ємна частка діоксину вуглецю,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Не більше 0,01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22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Вміст оксиду вуглецю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Відсутній (аміачний розчин азотнокислого срібла при пропусканні кисню повинен залишатися без кольору і прозорий)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24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Вміст газоподібних кислот і лугів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Повинен витримувати випробування по п.7 МКЯ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RPr="00704CDE" w:rsidTr="007D602F">
        <w:trPr>
          <w:trHeight w:val="113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Вміст озону та інших газів-</w:t>
            </w:r>
            <w:proofErr w:type="spellStart"/>
            <w:r w:rsidRPr="008E0BE8">
              <w:rPr>
                <w:rFonts w:ascii="Times New Roman" w:hAnsi="Times New Roman" w:cs="Times New Roman"/>
                <w:b/>
                <w:spacing w:val="3"/>
              </w:rPr>
              <w:t>окислювачів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Відсутні (розчин крохмалю та йодистого калію з краплею оцтової кислоти при пропусканні кисню повинен залишатися безкольоровим)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23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B3" w:rsidRPr="00110D57" w:rsidRDefault="00A032B3" w:rsidP="007D602F">
            <w:pPr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Об’ємна частка кисню,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Не менше 99,5%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  <w:tr w:rsidR="00A032B3" w:rsidTr="007D602F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B3" w:rsidRPr="00110D57" w:rsidRDefault="00A032B3" w:rsidP="007D602F">
            <w:pPr>
              <w:jc w:val="center"/>
              <w:rPr>
                <w:b/>
                <w:bCs/>
                <w:i/>
                <w:iCs/>
                <w:spacing w:val="3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Балон 40л.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B3" w:rsidRPr="008E0BE8" w:rsidRDefault="00A032B3" w:rsidP="007D602F">
            <w:pPr>
              <w:rPr>
                <w:rFonts w:ascii="Times New Roman" w:hAnsi="Times New Roman" w:cs="Times New Roman"/>
                <w:b/>
                <w:spacing w:val="3"/>
              </w:rPr>
            </w:pPr>
            <w:r w:rsidRPr="008E0BE8">
              <w:rPr>
                <w:rFonts w:ascii="Times New Roman" w:hAnsi="Times New Roman" w:cs="Times New Roman"/>
                <w:b/>
                <w:spacing w:val="3"/>
              </w:rPr>
              <w:t>з помітним спеціальним блакитним забарвленням і написом чорною фарбою «КИСЕНЬ МЕДИЧНИЙ»!!!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B3" w:rsidRPr="008E0BE8" w:rsidRDefault="00A032B3" w:rsidP="007D60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B3" w:rsidRPr="008E0BE8" w:rsidRDefault="00A032B3" w:rsidP="007D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3"/>
              </w:rPr>
            </w:pPr>
          </w:p>
        </w:tc>
      </w:tr>
    </w:tbl>
    <w:p w:rsidR="00A032B3" w:rsidRPr="003A6A21" w:rsidRDefault="00A032B3" w:rsidP="00A032B3">
      <w:pPr>
        <w:spacing w:after="20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032B3" w:rsidRDefault="00A032B3" w:rsidP="00A032B3">
      <w:pPr>
        <w:pStyle w:val="a3"/>
        <w:rPr>
          <w:color w:val="000000"/>
        </w:rPr>
      </w:pPr>
      <w:r w:rsidRPr="003A6A21">
        <w:rPr>
          <w:color w:val="000000"/>
          <w:lang w:val="ru-RU"/>
        </w:rPr>
        <w:t xml:space="preserve">               </w:t>
      </w:r>
      <w:r w:rsidRPr="003A6A21">
        <w:rPr>
          <w:color w:val="000000"/>
        </w:rPr>
        <w:t>МЕДИКО –ТЕХНІЧНІ ВИМОГИ ДО ПРЕДМЕТУ ЗАКУПІВЛІ</w:t>
      </w:r>
    </w:p>
    <w:p w:rsidR="00A032B3" w:rsidRPr="00A032B3" w:rsidRDefault="00A032B3" w:rsidP="00A032B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zh-CN"/>
        </w:rPr>
      </w:pPr>
    </w:p>
    <w:p w:rsidR="00A032B3" w:rsidRPr="00C82AD4" w:rsidRDefault="00A032B3" w:rsidP="00A032B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82AD4">
        <w:rPr>
          <w:rFonts w:ascii="Times New Roman" w:eastAsia="Times New Roman" w:hAnsi="Times New Roman" w:cs="Times New Roman"/>
          <w:color w:val="000000"/>
          <w:lang w:eastAsia="zh-CN"/>
        </w:rPr>
        <w:t>Якість товару повинна відповідати вимогам державних стандартів або технічних умов, що діють на території України, та підтверджуються сертифікатом відповідності (якості) – документом про якість із зазначенням у ньому відповідності нормам безпеки.</w:t>
      </w:r>
    </w:p>
    <w:p w:rsidR="00A032B3" w:rsidRPr="00C82AD4" w:rsidRDefault="00A032B3" w:rsidP="00A032B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82AD4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Поставка товару супроводжується наступними супутніми послугами: доставка товару до місця поставки товару, включаючи навантаження, розвантаження, транспортні, експедиційні та інші послуги з доставки за рахунок постачальника. </w:t>
      </w:r>
    </w:p>
    <w:p w:rsidR="00A032B3" w:rsidRPr="00C82AD4" w:rsidRDefault="00A032B3" w:rsidP="00A03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A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Замовник залишає за собою право на стадії  кваліфікації запросити від учасника інші  дані та документи, які можуть бути необхідними для уточнення/підтвердження кваліфікаційних вимог до учасника та предмету поставки (фото, інформацію про виробника, відомості про якісні характеристики).</w:t>
      </w:r>
    </w:p>
    <w:p w:rsidR="00A032B3" w:rsidRPr="00C82AD4" w:rsidRDefault="00A032B3" w:rsidP="00A032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032B3" w:rsidRPr="00C82AD4" w:rsidRDefault="00A032B3" w:rsidP="00A032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C82A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Технічні</w:t>
      </w:r>
      <w:proofErr w:type="spellEnd"/>
      <w:r w:rsidRPr="00C82A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, </w:t>
      </w:r>
      <w:proofErr w:type="spellStart"/>
      <w:r w:rsidRPr="00C82A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якісні</w:t>
      </w:r>
      <w:proofErr w:type="spellEnd"/>
      <w:r w:rsidRPr="00C82A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вимоги</w:t>
      </w:r>
      <w:proofErr w:type="spellEnd"/>
      <w:r w:rsidRPr="00C82A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підтверджуюся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електронному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proofErr w:type="gram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вигляді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,</w:t>
      </w:r>
      <w:proofErr w:type="gram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саме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гарантійний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лист (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листи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на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фірмовому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бланку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Учасника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інші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документи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</w:t>
      </w:r>
    </w:p>
    <w:p w:rsidR="00A032B3" w:rsidRPr="00C82AD4" w:rsidRDefault="00A032B3" w:rsidP="00A032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proofErr w:type="spellStart"/>
      <w:r w:rsidRPr="00C82AD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Умови</w:t>
      </w:r>
      <w:proofErr w:type="spellEnd"/>
      <w:r w:rsidRPr="00C82AD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поставки:  </w:t>
      </w:r>
    </w:p>
    <w:p w:rsidR="00A032B3" w:rsidRPr="00C82AD4" w:rsidRDefault="00A032B3" w:rsidP="00A032B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C82AD4">
        <w:rPr>
          <w:rFonts w:ascii="Times New Roman" w:eastAsia="Times New Roman" w:hAnsi="Times New Roman" w:cs="Times New Roman"/>
          <w:bCs/>
          <w:lang w:eastAsia="ru-RU"/>
        </w:rPr>
        <w:t xml:space="preserve">Замовник надає заявки на доставку продукції в зручній для себе формі (телефон, листом, факсом). Строк виконання заявки на доставку продукції  повинно здійснюватися не пізніше двох діб з моменту заявки Замовника. </w:t>
      </w:r>
      <w:r w:rsidRPr="00C82AD4">
        <w:rPr>
          <w:rFonts w:ascii="Times New Roman" w:eastAsia="Times New Roman" w:hAnsi="Times New Roman" w:cs="Times New Roman"/>
          <w:lang w:eastAsia="ru-RU"/>
        </w:rPr>
        <w:t xml:space="preserve">В екстрених ситуаціях, які можуть виникнути у замовника, Учасник зобов’язується забезпечити безперебійну поставку кисню протягом 2-х годин з моменту заявки на умовах СРТ, згідно правилам Інкотермс-2010. </w:t>
      </w:r>
      <w:r w:rsidRPr="00C82AD4">
        <w:rPr>
          <w:rFonts w:ascii="Times New Roman" w:hAnsi="Times New Roman" w:cs="Times New Roman"/>
          <w:lang w:eastAsia="ru-RU"/>
        </w:rPr>
        <w:t>Надати</w:t>
      </w:r>
      <w:r w:rsidRPr="00C82AD4">
        <w:rPr>
          <w:rFonts w:ascii="Times New Roman" w:hAnsi="Times New Roman" w:cs="Times New Roman"/>
          <w:lang w:val="ru-RU" w:eastAsia="ru-RU"/>
        </w:rPr>
        <w:t xml:space="preserve"> </w:t>
      </w:r>
      <w:r w:rsidRPr="00C82AD4">
        <w:rPr>
          <w:rFonts w:ascii="Times New Roman" w:hAnsi="Times New Roman" w:cs="Times New Roman"/>
          <w:lang w:eastAsia="ru-RU"/>
        </w:rPr>
        <w:t>гарантійний лист з зазначенням адреси виробництва або адреси аптечного складу з якого буде здійснена термінова поставка.</w:t>
      </w:r>
      <w:r w:rsidRPr="00C82AD4">
        <w:rPr>
          <w:rFonts w:ascii="Times New Roman" w:hAnsi="Times New Roman" w:cs="Times New Roman"/>
          <w:lang w:val="ru-RU" w:eastAsia="ru-RU"/>
        </w:rPr>
        <w:t xml:space="preserve"> </w:t>
      </w:r>
      <w:r w:rsidRPr="00C82AD4">
        <w:rPr>
          <w:rFonts w:ascii="Times New Roman" w:hAnsi="Times New Roman" w:cs="Times New Roman"/>
          <w:lang w:eastAsia="ru-RU"/>
        </w:rPr>
        <w:t>Якщо у Учасника є Гарант, що зможе зробити таку поставку, довідка надається від Гаранта.</w:t>
      </w:r>
    </w:p>
    <w:p w:rsidR="00A032B3" w:rsidRPr="00C82AD4" w:rsidRDefault="00A032B3" w:rsidP="00A032B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AD4">
        <w:rPr>
          <w:rFonts w:ascii="Times New Roman" w:eastAsia="Times New Roman" w:hAnsi="Times New Roman" w:cs="Times New Roman"/>
          <w:color w:val="000000"/>
          <w:lang w:eastAsia="ru-RU"/>
        </w:rPr>
        <w:t>Надати копію ліцензії на перевезення небезпечних вантажів.</w:t>
      </w:r>
    </w:p>
    <w:p w:rsidR="00A032B3" w:rsidRPr="00C82AD4" w:rsidRDefault="00A032B3" w:rsidP="00A032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2B3" w:rsidRPr="00C82AD4" w:rsidRDefault="00A032B3" w:rsidP="00A032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2B3" w:rsidRPr="00C82AD4" w:rsidRDefault="00A032B3" w:rsidP="00A032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C82AD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Вимоги</w:t>
      </w:r>
      <w:proofErr w:type="spellEnd"/>
      <w:r w:rsidRPr="00C82AD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до </w:t>
      </w:r>
      <w:proofErr w:type="spellStart"/>
      <w:r w:rsidRPr="00C82AD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якості</w:t>
      </w:r>
      <w:proofErr w:type="spellEnd"/>
      <w:r w:rsidRPr="00C82AD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:</w:t>
      </w:r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  </w:t>
      </w:r>
    </w:p>
    <w:p w:rsidR="00A032B3" w:rsidRPr="00C82AD4" w:rsidRDefault="00A032B3" w:rsidP="00A032B3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Термін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придатності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предмета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закупівлі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момент </w:t>
      </w:r>
      <w:proofErr w:type="gram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поставки  -</w:t>
      </w:r>
      <w:proofErr w:type="gram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менше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7</w:t>
      </w:r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0%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терміну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визначеного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виробником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</w:p>
    <w:p w:rsidR="00A032B3" w:rsidRPr="00C82AD4" w:rsidRDefault="00A032B3" w:rsidP="00A032B3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Якість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товару повинна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відповідати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технічній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документації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діючим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території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державним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стандартам,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вимогам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якості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умовам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Договору та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підтверджується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сертифікатом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(паспортом)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якості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виробника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копії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додаються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постачанні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),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виписаним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той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об’єм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кисню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який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був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зазначений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заявці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A032B3" w:rsidRPr="00C82AD4" w:rsidRDefault="00A032B3" w:rsidP="00A032B3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У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відсутності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сертифіката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(паспорта)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якості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виробника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чи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порушеннях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його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оформленні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має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не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приймати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доставлену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продукцію</w:t>
      </w:r>
      <w:proofErr w:type="spellEnd"/>
      <w:r w:rsidRPr="00C82AD4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A032B3" w:rsidRPr="00914A3C" w:rsidRDefault="00A032B3" w:rsidP="00A032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A032B3" w:rsidRPr="00914A3C" w:rsidRDefault="00A032B3" w:rsidP="00A03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 ДО УЧАСНИКІВ:</w:t>
      </w:r>
    </w:p>
    <w:p w:rsidR="00A032B3" w:rsidRPr="00914A3C" w:rsidRDefault="00A032B3" w:rsidP="00A03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32B3" w:rsidRPr="00914A3C" w:rsidRDefault="00A032B3" w:rsidP="00A032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відвантажуватися ПОСТАЧАЛЬНИКОМ з таким розрахунком, щоб на момент його постачання залишалося не менш ніж 70% (сімдесят відсотків) від його терміну придатності  У разі, якщо термін придатності Товару на момент поставки становить менше 70%. </w:t>
      </w:r>
    </w:p>
    <w:p w:rsidR="00A032B3" w:rsidRPr="00914A3C" w:rsidRDefault="00A032B3" w:rsidP="00A0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eastAsia="en-US"/>
        </w:rPr>
      </w:pPr>
      <w:r w:rsidRPr="00914A3C">
        <w:rPr>
          <w:rFonts w:ascii="Times New Roman" w:hAnsi="Times New Roman" w:cs="Times New Roman"/>
          <w:iCs/>
          <w:lang w:eastAsia="en-US"/>
        </w:rP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</w:t>
      </w:r>
      <w:r>
        <w:rPr>
          <w:rFonts w:ascii="Times New Roman" w:hAnsi="Times New Roman" w:cs="Times New Roman"/>
          <w:iCs/>
          <w:lang w:eastAsia="en-US"/>
        </w:rPr>
        <w:t xml:space="preserve">і, учасник надає  </w:t>
      </w:r>
      <w:r w:rsidRPr="00914A3C">
        <w:rPr>
          <w:rFonts w:ascii="Times New Roman" w:hAnsi="Times New Roman" w:cs="Times New Roman"/>
          <w:iCs/>
          <w:lang w:eastAsia="en-US"/>
        </w:rPr>
        <w:t>оригінал гарантійн</w:t>
      </w:r>
      <w:r>
        <w:rPr>
          <w:rFonts w:ascii="Times New Roman" w:hAnsi="Times New Roman" w:cs="Times New Roman"/>
          <w:iCs/>
          <w:lang w:eastAsia="en-US"/>
        </w:rPr>
        <w:t>ого</w:t>
      </w:r>
      <w:r w:rsidRPr="00914A3C">
        <w:rPr>
          <w:rFonts w:ascii="Times New Roman" w:hAnsi="Times New Roman" w:cs="Times New Roman"/>
          <w:iCs/>
          <w:lang w:eastAsia="en-US"/>
        </w:rPr>
        <w:t xml:space="preserve"> лист</w:t>
      </w:r>
      <w:r>
        <w:rPr>
          <w:rFonts w:ascii="Times New Roman" w:hAnsi="Times New Roman" w:cs="Times New Roman"/>
          <w:iCs/>
          <w:lang w:eastAsia="en-US"/>
        </w:rPr>
        <w:t>а</w:t>
      </w:r>
      <w:r w:rsidRPr="00914A3C">
        <w:rPr>
          <w:rFonts w:ascii="Times New Roman" w:hAnsi="Times New Roman" w:cs="Times New Roman"/>
          <w:iCs/>
          <w:lang w:eastAsia="en-US"/>
        </w:rPr>
        <w:t xml:space="preserve"> від виробника (представника, представництва, філії виробника, якщо їх відповідні повноваження поширюються на територію України), яким підтверджується можливість поставки предмету закупівлі цих торгів, у необхідній кількості та в терміни, визначені цією документацією та пропозицією Учасника. Гарантійний лист повинен включати: повну назву Учасника, назву предмету закупівлі, кількість згідно тендерної документації та повинен адресуватися Замовнику торгів.</w:t>
      </w:r>
    </w:p>
    <w:p w:rsidR="00A032B3" w:rsidRPr="00914A3C" w:rsidRDefault="00A032B3" w:rsidP="00A032B3">
      <w:pPr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color w:val="000000"/>
          <w:kern w:val="1"/>
          <w:sz w:val="24"/>
          <w:szCs w:val="24"/>
          <w:lang w:eastAsia="ru-RU" w:bidi="hi-IN"/>
        </w:rPr>
      </w:pPr>
    </w:p>
    <w:p w:rsidR="00A032B3" w:rsidRPr="00914A3C" w:rsidRDefault="00A032B3" w:rsidP="00A032B3">
      <w:pPr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color w:val="000000"/>
          <w:kern w:val="1"/>
          <w:sz w:val="24"/>
          <w:szCs w:val="24"/>
          <w:lang w:eastAsia="ru-RU" w:bidi="hi-IN"/>
        </w:rPr>
      </w:pPr>
      <w:r w:rsidRPr="00914A3C">
        <w:rPr>
          <w:rFonts w:ascii="Times New Roman" w:hAnsi="Times New Roman" w:cs="Mangal"/>
          <w:color w:val="000000"/>
          <w:kern w:val="1"/>
          <w:sz w:val="24"/>
          <w:szCs w:val="24"/>
          <w:lang w:eastAsia="ru-RU" w:bidi="hi-IN"/>
        </w:rPr>
        <w:t>Учасник вправі запропонувати еквівалент препарату,  зазначеному в специфікації. В разі подання еквіваленту, що закуповується, учасник повинен детально розписати порівняльну характеристику по представленому препарату.</w:t>
      </w:r>
    </w:p>
    <w:p w:rsidR="00A032B3" w:rsidRPr="00914A3C" w:rsidRDefault="00A032B3" w:rsidP="00A032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 повинен бути  зареєстрований в Україні (</w:t>
      </w:r>
      <w:r w:rsidRPr="00914A3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надати копію Реєстраційного </w:t>
      </w:r>
      <w:proofErr w:type="spellStart"/>
      <w:r w:rsidRPr="00914A3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посвідченння</w:t>
      </w:r>
      <w:proofErr w:type="spellEnd"/>
      <w:r w:rsidRPr="00914A3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у складі тендерної пропозиції Учасника</w:t>
      </w: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32B3" w:rsidRPr="00914A3C" w:rsidRDefault="00A032B3" w:rsidP="00A032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Якість товару має відповідати вимогам національних та міжнародних стандартів, що має бути підтверджене на момент поставки сертифікатами якості (відповідності) виробника (</w:t>
      </w:r>
      <w:r w:rsidRPr="00914A3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надати гарантійний лист від імені Учасника у складі пропозиції</w:t>
      </w: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0F9D" w:rsidRDefault="00320F9D"/>
    <w:sectPr w:rsidR="003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17A0"/>
    <w:multiLevelType w:val="hybridMultilevel"/>
    <w:tmpl w:val="E220687E"/>
    <w:lvl w:ilvl="0" w:tplc="2D2E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63EEE"/>
    <w:multiLevelType w:val="hybridMultilevel"/>
    <w:tmpl w:val="473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3E"/>
    <w:rsid w:val="00320F9D"/>
    <w:rsid w:val="00A032B3"/>
    <w:rsid w:val="00A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32C9-628F-4C64-BD54-358B926F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B3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classifierdescr">
    <w:name w:val="qa_classifier_descr"/>
    <w:basedOn w:val="a0"/>
    <w:rsid w:val="00A032B3"/>
  </w:style>
  <w:style w:type="character" w:customStyle="1" w:styleId="qaclassifierdescrcode">
    <w:name w:val="qa_classifier_descr_code"/>
    <w:basedOn w:val="a0"/>
    <w:rsid w:val="00A032B3"/>
  </w:style>
  <w:style w:type="character" w:customStyle="1" w:styleId="qaclassifierdescrprimary">
    <w:name w:val="qa_classifier_descr_primary"/>
    <w:basedOn w:val="a0"/>
    <w:rsid w:val="00A0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2023-08-08T06:57:00Z</dcterms:created>
  <dcterms:modified xsi:type="dcterms:W3CDTF">2023-08-08T06:57:00Z</dcterms:modified>
</cp:coreProperties>
</file>