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D3E1A" w14:textId="77777777" w:rsidR="00956B06" w:rsidRDefault="00956B06">
      <w:pPr>
        <w:pBdr>
          <w:top w:val="nil"/>
          <w:left w:val="nil"/>
          <w:bottom w:val="nil"/>
          <w:right w:val="nil"/>
          <w:between w:val="nil"/>
        </w:pBdr>
        <w:shd w:val="clear" w:color="auto" w:fill="FFFFFF"/>
        <w:ind w:firstLine="450"/>
        <w:jc w:val="right"/>
        <w:rPr>
          <w:color w:val="000000"/>
          <w:sz w:val="22"/>
          <w:szCs w:val="22"/>
        </w:rPr>
      </w:pPr>
    </w:p>
    <w:p w14:paraId="60A44548" w14:textId="77777777" w:rsidR="00956B06" w:rsidRDefault="00956B06">
      <w:pPr>
        <w:pBdr>
          <w:top w:val="nil"/>
          <w:left w:val="nil"/>
          <w:bottom w:val="nil"/>
          <w:right w:val="nil"/>
          <w:between w:val="nil"/>
        </w:pBdr>
        <w:shd w:val="clear" w:color="auto" w:fill="FFFFFF"/>
        <w:ind w:firstLine="450"/>
        <w:jc w:val="right"/>
        <w:rPr>
          <w:color w:val="000000"/>
          <w:sz w:val="22"/>
          <w:szCs w:val="22"/>
        </w:rPr>
      </w:pPr>
    </w:p>
    <w:p w14:paraId="1902D332" w14:textId="77777777" w:rsidR="00956B06" w:rsidRDefault="00757E63">
      <w:pPr>
        <w:jc w:val="center"/>
        <w:rPr>
          <w:b/>
          <w:sz w:val="24"/>
          <w:szCs w:val="24"/>
        </w:rPr>
      </w:pPr>
      <w:r>
        <w:rPr>
          <w:b/>
          <w:sz w:val="24"/>
          <w:szCs w:val="24"/>
        </w:rPr>
        <w:t xml:space="preserve">ІНФОРМАЦІЯ ПРО </w:t>
      </w:r>
    </w:p>
    <w:p w14:paraId="1C6CD831" w14:textId="77777777" w:rsidR="00956B06" w:rsidRDefault="00757E63">
      <w:pPr>
        <w:jc w:val="center"/>
        <w:rPr>
          <w:b/>
          <w:sz w:val="24"/>
          <w:szCs w:val="24"/>
        </w:rPr>
      </w:pPr>
      <w:r>
        <w:rPr>
          <w:b/>
          <w:sz w:val="24"/>
          <w:szCs w:val="24"/>
        </w:rPr>
        <w:t>ТЕХНІЧНІ, ЯКІСНІ ТА КІЛЬКІСНІ</w:t>
      </w:r>
    </w:p>
    <w:p w14:paraId="16AE9E07" w14:textId="77777777" w:rsidR="00956B06" w:rsidRDefault="00757E63">
      <w:pPr>
        <w:jc w:val="center"/>
        <w:rPr>
          <w:b/>
          <w:sz w:val="24"/>
          <w:szCs w:val="24"/>
        </w:rPr>
      </w:pPr>
      <w:r>
        <w:rPr>
          <w:b/>
          <w:sz w:val="24"/>
          <w:szCs w:val="24"/>
        </w:rPr>
        <w:t xml:space="preserve"> ХАРАКТЕРИСТИКИ ПРЕДМЕТА ЗАКУПІВЛІ</w:t>
      </w:r>
    </w:p>
    <w:p w14:paraId="43F13E4C" w14:textId="77777777" w:rsidR="00956B06" w:rsidRDefault="00757E63">
      <w:pPr>
        <w:ind w:firstLine="567"/>
        <w:jc w:val="both"/>
        <w:rPr>
          <w:sz w:val="24"/>
          <w:szCs w:val="24"/>
        </w:rPr>
      </w:pPr>
      <w:r>
        <w:rPr>
          <w:sz w:val="24"/>
          <w:szCs w:val="24"/>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18EFB597" w14:textId="77777777" w:rsidR="00956B06" w:rsidRDefault="00956B06">
      <w:pPr>
        <w:ind w:firstLine="567"/>
        <w:jc w:val="both"/>
        <w:rPr>
          <w:b/>
          <w:sz w:val="24"/>
          <w:szCs w:val="24"/>
        </w:rPr>
      </w:pPr>
    </w:p>
    <w:p w14:paraId="3F161C60" w14:textId="77777777" w:rsidR="00956B06" w:rsidRDefault="00757E63">
      <w:pPr>
        <w:ind w:firstLine="567"/>
        <w:jc w:val="both"/>
        <w:rPr>
          <w:b/>
          <w:sz w:val="24"/>
          <w:szCs w:val="24"/>
        </w:rPr>
      </w:pPr>
      <w:r>
        <w:rPr>
          <w:b/>
          <w:sz w:val="24"/>
          <w:szCs w:val="24"/>
        </w:rPr>
        <w:t>Предмет закупівлі: ДК 021:2015, код 09310000-5 – Електрична енергія (Електрична енергія), - товар, у вигляді активної електричної енергії.</w:t>
      </w:r>
    </w:p>
    <w:tbl>
      <w:tblPr>
        <w:tblStyle w:val="aa"/>
        <w:tblW w:w="10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1"/>
        <w:gridCol w:w="1458"/>
        <w:gridCol w:w="1605"/>
        <w:gridCol w:w="4389"/>
      </w:tblGrid>
      <w:tr w:rsidR="00956B06" w14:paraId="26CAB1E7" w14:textId="77777777">
        <w:trPr>
          <w:trHeight w:val="286"/>
        </w:trPr>
        <w:tc>
          <w:tcPr>
            <w:tcW w:w="2591" w:type="dxa"/>
          </w:tcPr>
          <w:p w14:paraId="4E4B6365" w14:textId="77777777" w:rsidR="00956B06" w:rsidRDefault="00757E63">
            <w:pPr>
              <w:jc w:val="center"/>
              <w:rPr>
                <w:b/>
                <w:sz w:val="22"/>
                <w:szCs w:val="22"/>
              </w:rPr>
            </w:pPr>
            <w:r>
              <w:rPr>
                <w:b/>
                <w:sz w:val="22"/>
                <w:szCs w:val="22"/>
              </w:rPr>
              <w:t xml:space="preserve">Найменування товару </w:t>
            </w:r>
          </w:p>
        </w:tc>
        <w:tc>
          <w:tcPr>
            <w:tcW w:w="1458" w:type="dxa"/>
            <w:shd w:val="clear" w:color="auto" w:fill="auto"/>
          </w:tcPr>
          <w:p w14:paraId="3D30EF56" w14:textId="77777777" w:rsidR="00956B06" w:rsidRDefault="00757E63">
            <w:pPr>
              <w:jc w:val="center"/>
              <w:rPr>
                <w:b/>
                <w:sz w:val="22"/>
                <w:szCs w:val="22"/>
              </w:rPr>
            </w:pPr>
            <w:r>
              <w:rPr>
                <w:b/>
                <w:sz w:val="22"/>
                <w:szCs w:val="22"/>
              </w:rPr>
              <w:t>Од. виміру</w:t>
            </w:r>
          </w:p>
        </w:tc>
        <w:tc>
          <w:tcPr>
            <w:tcW w:w="1605" w:type="dxa"/>
            <w:shd w:val="clear" w:color="auto" w:fill="auto"/>
          </w:tcPr>
          <w:p w14:paraId="195A8153" w14:textId="77777777" w:rsidR="00956B06" w:rsidRDefault="00757E63">
            <w:pPr>
              <w:jc w:val="center"/>
              <w:rPr>
                <w:b/>
                <w:sz w:val="22"/>
                <w:szCs w:val="22"/>
              </w:rPr>
            </w:pPr>
            <w:r>
              <w:rPr>
                <w:b/>
                <w:sz w:val="22"/>
                <w:szCs w:val="22"/>
              </w:rPr>
              <w:t>Кількість</w:t>
            </w:r>
          </w:p>
        </w:tc>
        <w:tc>
          <w:tcPr>
            <w:tcW w:w="4389" w:type="dxa"/>
          </w:tcPr>
          <w:p w14:paraId="402000C7" w14:textId="77777777" w:rsidR="00956B06" w:rsidRDefault="00757E63">
            <w:pPr>
              <w:jc w:val="center"/>
              <w:rPr>
                <w:b/>
                <w:sz w:val="22"/>
                <w:szCs w:val="22"/>
              </w:rPr>
            </w:pPr>
            <w:r>
              <w:rPr>
                <w:b/>
                <w:sz w:val="22"/>
                <w:szCs w:val="22"/>
              </w:rPr>
              <w:t>Технічна характеристика</w:t>
            </w:r>
          </w:p>
        </w:tc>
      </w:tr>
      <w:tr w:rsidR="00956B06" w14:paraId="2C614376" w14:textId="77777777">
        <w:trPr>
          <w:trHeight w:val="286"/>
        </w:trPr>
        <w:tc>
          <w:tcPr>
            <w:tcW w:w="2591" w:type="dxa"/>
            <w:vAlign w:val="center"/>
          </w:tcPr>
          <w:p w14:paraId="4917BC11" w14:textId="77777777" w:rsidR="00956B06" w:rsidRDefault="00757E63">
            <w:pPr>
              <w:jc w:val="center"/>
              <w:rPr>
                <w:sz w:val="22"/>
                <w:szCs w:val="22"/>
              </w:rPr>
            </w:pPr>
            <w:r>
              <w:rPr>
                <w:sz w:val="22"/>
                <w:szCs w:val="22"/>
              </w:rPr>
              <w:t>ДК 021:2015: код 09310000-5 «Електрична енергія» (Електрична енергія)</w:t>
            </w:r>
          </w:p>
          <w:p w14:paraId="2E96A727" w14:textId="77777777" w:rsidR="00956B06" w:rsidRDefault="00956B06">
            <w:pPr>
              <w:jc w:val="center"/>
              <w:rPr>
                <w:sz w:val="22"/>
                <w:szCs w:val="22"/>
              </w:rPr>
            </w:pPr>
          </w:p>
        </w:tc>
        <w:tc>
          <w:tcPr>
            <w:tcW w:w="1458" w:type="dxa"/>
            <w:shd w:val="clear" w:color="auto" w:fill="auto"/>
            <w:vAlign w:val="center"/>
          </w:tcPr>
          <w:p w14:paraId="649747E0" w14:textId="77777777" w:rsidR="00956B06" w:rsidRDefault="00757E63">
            <w:pPr>
              <w:jc w:val="center"/>
              <w:rPr>
                <w:sz w:val="22"/>
                <w:szCs w:val="22"/>
              </w:rPr>
            </w:pPr>
            <w:r>
              <w:rPr>
                <w:sz w:val="22"/>
                <w:szCs w:val="22"/>
              </w:rPr>
              <w:t>кВт/год.</w:t>
            </w:r>
          </w:p>
        </w:tc>
        <w:tc>
          <w:tcPr>
            <w:tcW w:w="1605" w:type="dxa"/>
            <w:shd w:val="clear" w:color="auto" w:fill="auto"/>
            <w:vAlign w:val="center"/>
          </w:tcPr>
          <w:p w14:paraId="1AAD4BDF" w14:textId="3A6009B2" w:rsidR="00956B06" w:rsidRPr="002F17D7" w:rsidRDefault="002F17D7">
            <w:pPr>
              <w:jc w:val="center"/>
              <w:rPr>
                <w:b/>
                <w:sz w:val="22"/>
                <w:szCs w:val="22"/>
              </w:rPr>
            </w:pPr>
            <w:r w:rsidRPr="002F17D7">
              <w:rPr>
                <w:b/>
                <w:sz w:val="22"/>
                <w:szCs w:val="22"/>
              </w:rPr>
              <w:t>645 000</w:t>
            </w:r>
          </w:p>
        </w:tc>
        <w:tc>
          <w:tcPr>
            <w:tcW w:w="4389" w:type="dxa"/>
          </w:tcPr>
          <w:p w14:paraId="05446848" w14:textId="77777777" w:rsidR="00956B06" w:rsidRDefault="00757E63">
            <w:pPr>
              <w:jc w:val="both"/>
              <w:rPr>
                <w:b/>
                <w:sz w:val="22"/>
                <w:szCs w:val="22"/>
              </w:rPr>
            </w:pPr>
            <w:r>
              <w:rPr>
                <w:sz w:val="22"/>
                <w:szCs w:val="22"/>
              </w:rPr>
              <w:t xml:space="preserve">Показники електричної енергії, яка постачається Замовнику, повинні відповідати ДСТУ EN 50160:2014 «Характеристики напруги електропостачання в електричних мережах загальної </w:t>
            </w:r>
            <w:proofErr w:type="spellStart"/>
            <w:r>
              <w:rPr>
                <w:sz w:val="22"/>
                <w:szCs w:val="22"/>
              </w:rPr>
              <w:t>призначеності</w:t>
            </w:r>
            <w:proofErr w:type="spellEnd"/>
            <w:r>
              <w:rPr>
                <w:sz w:val="22"/>
                <w:szCs w:val="22"/>
              </w:rPr>
              <w:t>»</w:t>
            </w:r>
          </w:p>
        </w:tc>
      </w:tr>
    </w:tbl>
    <w:p w14:paraId="2A65CD47" w14:textId="77777777" w:rsidR="00956B06" w:rsidRDefault="00956B06">
      <w:pPr>
        <w:ind w:firstLine="567"/>
        <w:jc w:val="both"/>
        <w:rPr>
          <w:b/>
          <w:sz w:val="24"/>
          <w:szCs w:val="24"/>
        </w:rPr>
      </w:pPr>
    </w:p>
    <w:p w14:paraId="1E80D43E" w14:textId="77777777" w:rsidR="00956B06" w:rsidRDefault="00757E63">
      <w:pPr>
        <w:ind w:firstLine="567"/>
        <w:jc w:val="both"/>
        <w:rPr>
          <w:b/>
          <w:sz w:val="24"/>
          <w:szCs w:val="24"/>
        </w:rPr>
      </w:pPr>
      <w:r>
        <w:rPr>
          <w:b/>
          <w:sz w:val="24"/>
          <w:szCs w:val="24"/>
        </w:rPr>
        <w:t>Період постачання: з 01 січня 2021 року до 31 грудня 2021 року включно.</w:t>
      </w:r>
    </w:p>
    <w:p w14:paraId="4F5B11E2" w14:textId="77777777" w:rsidR="00956B06" w:rsidRDefault="00757E63">
      <w:pPr>
        <w:ind w:firstLine="567"/>
        <w:jc w:val="both"/>
        <w:rPr>
          <w:b/>
          <w:sz w:val="24"/>
          <w:szCs w:val="24"/>
        </w:rPr>
      </w:pPr>
      <w:r>
        <w:rPr>
          <w:b/>
          <w:sz w:val="24"/>
          <w:szCs w:val="24"/>
        </w:rPr>
        <w:t>Місце постачання: до межі балансової належності електроустановок замовника.</w:t>
      </w:r>
    </w:p>
    <w:p w14:paraId="73C9F040" w14:textId="77777777" w:rsidR="00956B06" w:rsidRDefault="00757E63">
      <w:pPr>
        <w:ind w:firstLine="567"/>
        <w:jc w:val="both"/>
        <w:rPr>
          <w:sz w:val="24"/>
          <w:szCs w:val="24"/>
        </w:rPr>
      </w:pPr>
      <w:r>
        <w:rPr>
          <w:sz w:val="24"/>
          <w:szCs w:val="24"/>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ПРРЕЕ). У ціні тендерної пропозиції повинна бути врахована вартість усіх супутніх витрат (включаючи вартість послуг з передачі електричної енергії оператору системи передачі ДП НЕК «Укренерго» (далі – ОСП), відповідно до укладеного між Постачальником та ОСП Договором відповідно до постанови НКРЕКП від 10.12.2019 року № 2668. </w:t>
      </w:r>
    </w:p>
    <w:p w14:paraId="2512CFB2" w14:textId="77777777" w:rsidR="00956B06" w:rsidRDefault="00757E63">
      <w:pPr>
        <w:ind w:firstLine="567"/>
        <w:jc w:val="both"/>
        <w:rPr>
          <w:sz w:val="24"/>
          <w:szCs w:val="24"/>
        </w:rPr>
      </w:pPr>
      <w:r>
        <w:rPr>
          <w:sz w:val="24"/>
          <w:szCs w:val="24"/>
        </w:rPr>
        <w:t>Надання супутніх послуг здійснюється учасником – переможцем процедури закупівлі, з яким укладено договір про закупівлю, або третьою особою відповідно до законодавства за рахунок переможця процедури закупівлі.</w:t>
      </w:r>
    </w:p>
    <w:p w14:paraId="5DB6B0A9" w14:textId="77777777" w:rsidR="00956B06" w:rsidRDefault="00757E63">
      <w:pPr>
        <w:ind w:firstLine="567"/>
        <w:jc w:val="both"/>
        <w:rPr>
          <w:sz w:val="24"/>
          <w:szCs w:val="24"/>
        </w:rPr>
      </w:pPr>
      <w:r>
        <w:rPr>
          <w:sz w:val="24"/>
          <w:szCs w:val="24"/>
        </w:rPr>
        <w:t>Учасники повинні надати документальне підтвердження стосовно сертифікації уповноваженою організацією відповідності управління гігієною та безпекою праці; екологічного управління учасника закупівлі згідно ДСТУ OHSAS 18001:2010; ДСТУ ISO 14001:2015 або аналогічних систем чи більш нових версій стандартів з метою безпечності надання послуг із обслуговування клієнтів-споживачів у точках контакту/сервісу з наданням у складі пропозиції відповідних дійсних сертифікатів, виданих на ім’я учасника закупівлі.</w:t>
      </w:r>
    </w:p>
    <w:p w14:paraId="44A42ACC" w14:textId="77777777" w:rsidR="00956B06" w:rsidRDefault="00757E63">
      <w:pPr>
        <w:ind w:firstLine="567"/>
        <w:jc w:val="both"/>
        <w:rPr>
          <w:b/>
          <w:sz w:val="24"/>
          <w:szCs w:val="24"/>
        </w:rPr>
      </w:pPr>
      <w:r>
        <w:rPr>
          <w:sz w:val="24"/>
          <w:szCs w:val="24"/>
        </w:rPr>
        <w:t>Учасники не зобов’язані але мають право формувати свої ціни на товар щодо закупівлі електричної енергії як товару разом із додатковими (супутніми або ж допоміжними) послугами, що передбачено пунктом 34 частини 1 статті 1 Закону, а саме: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14:paraId="690AA10F" w14:textId="77777777" w:rsidR="00956B06" w:rsidRDefault="00757E63">
      <w:pPr>
        <w:shd w:val="clear" w:color="auto" w:fill="FFFFFF"/>
        <w:jc w:val="center"/>
        <w:rPr>
          <w:sz w:val="18"/>
          <w:szCs w:val="18"/>
        </w:rPr>
      </w:pPr>
      <w:r>
        <w:rPr>
          <w:b/>
          <w:sz w:val="24"/>
          <w:szCs w:val="24"/>
        </w:rPr>
        <w:t>Якість електричної енергії</w:t>
      </w:r>
    </w:p>
    <w:p w14:paraId="57D1AB31" w14:textId="77777777" w:rsidR="00956B06" w:rsidRDefault="00757E63">
      <w:pPr>
        <w:shd w:val="clear" w:color="auto" w:fill="FFFFFF"/>
        <w:ind w:firstLine="567"/>
        <w:jc w:val="both"/>
        <w:rPr>
          <w:sz w:val="24"/>
          <w:szCs w:val="24"/>
        </w:rPr>
      </w:pPr>
      <w:r>
        <w:rPr>
          <w:sz w:val="24"/>
          <w:szCs w:val="24"/>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w:t>
      </w:r>
    </w:p>
    <w:p w14:paraId="21A1627A" w14:textId="77777777" w:rsidR="00956B06" w:rsidRDefault="00757E63">
      <w:pPr>
        <w:shd w:val="clear" w:color="auto" w:fill="FFFFFF"/>
        <w:ind w:firstLine="567"/>
        <w:jc w:val="both"/>
        <w:rPr>
          <w:sz w:val="24"/>
          <w:szCs w:val="24"/>
        </w:rPr>
      </w:pPr>
      <w:r>
        <w:rPr>
          <w:sz w:val="24"/>
          <w:szCs w:val="24"/>
        </w:rPr>
        <w:t>Відповідно до положень пункту 11.4.6 глави 11.4 розділу XI </w:t>
      </w:r>
      <w:hyperlink r:id="rId9">
        <w:r>
          <w:rPr>
            <w:sz w:val="24"/>
            <w:szCs w:val="24"/>
          </w:rPr>
          <w:t>Кодексу систем розподілу</w:t>
        </w:r>
      </w:hyperlink>
      <w:r>
        <w:rPr>
          <w:sz w:val="24"/>
          <w:szCs w:val="24"/>
        </w:rPr>
        <w:t xml:space="preserve">,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Pr>
          <w:sz w:val="24"/>
          <w:szCs w:val="24"/>
        </w:rPr>
        <w:t>призначеності</w:t>
      </w:r>
      <w:proofErr w:type="spellEnd"/>
      <w:r>
        <w:rPr>
          <w:sz w:val="24"/>
          <w:szCs w:val="24"/>
        </w:rPr>
        <w:t>» (далі – ДСТУ EN 50160:2014).</w:t>
      </w:r>
    </w:p>
    <w:p w14:paraId="474B9678" w14:textId="77777777" w:rsidR="00956B06" w:rsidRDefault="00757E63">
      <w:pPr>
        <w:shd w:val="clear" w:color="auto" w:fill="FFFFFF"/>
        <w:ind w:firstLine="567"/>
        <w:jc w:val="both"/>
        <w:rPr>
          <w:sz w:val="24"/>
          <w:szCs w:val="24"/>
        </w:rPr>
      </w:pPr>
      <w:r>
        <w:rPr>
          <w:sz w:val="24"/>
          <w:szCs w:val="24"/>
        </w:rPr>
        <w:t>Основні показники якості електричної енергії визначені у пунктах 11.4.7 – 11.4.12 глави 11.4 розділу XІ КСР.</w:t>
      </w:r>
    </w:p>
    <w:p w14:paraId="39D8639E" w14:textId="77777777" w:rsidR="00956B06" w:rsidRDefault="00757E63">
      <w:pPr>
        <w:shd w:val="clear" w:color="auto" w:fill="FFFFFF"/>
        <w:ind w:firstLine="567"/>
        <w:jc w:val="both"/>
        <w:rPr>
          <w:sz w:val="24"/>
          <w:szCs w:val="24"/>
        </w:rPr>
      </w:pPr>
      <w:r>
        <w:rPr>
          <w:sz w:val="24"/>
          <w:szCs w:val="24"/>
        </w:rPr>
        <w:t xml:space="preserve">Стандартна номінальна напруга </w:t>
      </w:r>
      <w:proofErr w:type="spellStart"/>
      <w:r>
        <w:rPr>
          <w:sz w:val="24"/>
          <w:szCs w:val="24"/>
        </w:rPr>
        <w:t>Uн</w:t>
      </w:r>
      <w:proofErr w:type="spellEnd"/>
      <w:r>
        <w:rPr>
          <w:sz w:val="24"/>
          <w:szCs w:val="24"/>
        </w:rPr>
        <w:t xml:space="preserve"> для мереж низької напруги загального призначення має значення 220 В між фазним і нульовим проводом або між фазними проводами:</w:t>
      </w:r>
    </w:p>
    <w:p w14:paraId="3D727F10" w14:textId="77777777" w:rsidR="00956B06" w:rsidRDefault="00757E63">
      <w:pPr>
        <w:shd w:val="clear" w:color="auto" w:fill="FFFFFF"/>
        <w:ind w:firstLine="567"/>
        <w:jc w:val="both"/>
        <w:rPr>
          <w:sz w:val="24"/>
          <w:szCs w:val="24"/>
        </w:rPr>
      </w:pPr>
      <w:r>
        <w:rPr>
          <w:sz w:val="24"/>
          <w:szCs w:val="24"/>
        </w:rPr>
        <w:lastRenderedPageBreak/>
        <w:t xml:space="preserve">- для трифазних </w:t>
      </w:r>
      <w:proofErr w:type="spellStart"/>
      <w:r>
        <w:rPr>
          <w:sz w:val="24"/>
          <w:szCs w:val="24"/>
        </w:rPr>
        <w:t>чотирипровідних</w:t>
      </w:r>
      <w:proofErr w:type="spellEnd"/>
      <w:r>
        <w:rPr>
          <w:sz w:val="24"/>
          <w:szCs w:val="24"/>
        </w:rPr>
        <w:t xml:space="preserve"> мереж: </w:t>
      </w:r>
      <w:proofErr w:type="spellStart"/>
      <w:r>
        <w:rPr>
          <w:sz w:val="24"/>
          <w:szCs w:val="24"/>
        </w:rPr>
        <w:t>Uн</w:t>
      </w:r>
      <w:proofErr w:type="spellEnd"/>
      <w:r>
        <w:rPr>
          <w:sz w:val="24"/>
          <w:szCs w:val="24"/>
        </w:rPr>
        <w:t xml:space="preserve"> = 220 В між фазним та нульовим проводом;</w:t>
      </w:r>
    </w:p>
    <w:p w14:paraId="6C815A68" w14:textId="77777777" w:rsidR="00956B06" w:rsidRDefault="00757E63">
      <w:pPr>
        <w:shd w:val="clear" w:color="auto" w:fill="FFFFFF"/>
        <w:ind w:firstLine="567"/>
        <w:jc w:val="both"/>
        <w:rPr>
          <w:sz w:val="24"/>
          <w:szCs w:val="24"/>
        </w:rPr>
      </w:pPr>
      <w:r>
        <w:rPr>
          <w:sz w:val="24"/>
          <w:szCs w:val="24"/>
        </w:rPr>
        <w:t xml:space="preserve">- для трифазних </w:t>
      </w:r>
      <w:proofErr w:type="spellStart"/>
      <w:r>
        <w:rPr>
          <w:sz w:val="24"/>
          <w:szCs w:val="24"/>
        </w:rPr>
        <w:t>трипровідних</w:t>
      </w:r>
      <w:proofErr w:type="spellEnd"/>
      <w:r>
        <w:rPr>
          <w:sz w:val="24"/>
          <w:szCs w:val="24"/>
        </w:rPr>
        <w:t xml:space="preserve"> мереж: </w:t>
      </w:r>
      <w:proofErr w:type="spellStart"/>
      <w:r>
        <w:rPr>
          <w:sz w:val="24"/>
          <w:szCs w:val="24"/>
        </w:rPr>
        <w:t>Uн</w:t>
      </w:r>
      <w:proofErr w:type="spellEnd"/>
      <w:r>
        <w:rPr>
          <w:sz w:val="24"/>
          <w:szCs w:val="24"/>
        </w:rPr>
        <w:t xml:space="preserve"> = 220 В між фазними проводами.</w:t>
      </w:r>
    </w:p>
    <w:p w14:paraId="39764091" w14:textId="77777777" w:rsidR="00956B06" w:rsidRDefault="00757E63">
      <w:pPr>
        <w:shd w:val="clear" w:color="auto" w:fill="FFFFFF"/>
        <w:ind w:firstLine="567"/>
        <w:jc w:val="both"/>
        <w:rPr>
          <w:sz w:val="24"/>
          <w:szCs w:val="24"/>
        </w:rPr>
      </w:pPr>
      <w:r>
        <w:rPr>
          <w:sz w:val="24"/>
          <w:szCs w:val="24"/>
        </w:rPr>
        <w:t>Зміна напруги не повинна перевищувати ± 10 % від величини номінальної напруги.</w:t>
      </w:r>
    </w:p>
    <w:p w14:paraId="0897CD07" w14:textId="77777777" w:rsidR="00956B06" w:rsidRDefault="00757E63">
      <w:pPr>
        <w:shd w:val="clear" w:color="auto" w:fill="FFFFFF"/>
        <w:ind w:firstLine="567"/>
        <w:jc w:val="both"/>
        <w:rPr>
          <w:sz w:val="24"/>
          <w:szCs w:val="24"/>
        </w:rPr>
      </w:pPr>
      <w:r>
        <w:rPr>
          <w:sz w:val="24"/>
          <w:szCs w:val="24"/>
        </w:rPr>
        <w:t>Частота напруги електропостачання для мереж низької напруги має бути в межах:</w:t>
      </w:r>
    </w:p>
    <w:p w14:paraId="42A12A8F" w14:textId="77777777" w:rsidR="00956B06" w:rsidRDefault="00757E63">
      <w:pPr>
        <w:shd w:val="clear" w:color="auto" w:fill="FFFFFF"/>
        <w:ind w:firstLine="567"/>
        <w:jc w:val="both"/>
        <w:rPr>
          <w:sz w:val="24"/>
          <w:szCs w:val="24"/>
        </w:rPr>
      </w:pPr>
      <w:r>
        <w:rPr>
          <w:sz w:val="24"/>
          <w:szCs w:val="24"/>
        </w:rPr>
        <w:t>1) для систем, які синхронно приєднані до ОЕС України - 50 Гц ± 1 % протягом 99,5 % часу за рік та 50 Гц + 4 % ( - 6 %) протягом 100 % часу;</w:t>
      </w:r>
    </w:p>
    <w:p w14:paraId="3BEA7F73" w14:textId="77777777" w:rsidR="00956B06" w:rsidRDefault="00757E63">
      <w:pPr>
        <w:shd w:val="clear" w:color="auto" w:fill="FFFFFF"/>
        <w:ind w:firstLine="567"/>
        <w:jc w:val="both"/>
        <w:rPr>
          <w:sz w:val="24"/>
          <w:szCs w:val="24"/>
        </w:rPr>
      </w:pPr>
      <w:r>
        <w:rPr>
          <w:sz w:val="24"/>
          <w:szCs w:val="24"/>
        </w:rPr>
        <w:t>2) для систем без синхронного приєднання до ОЕС України - 50 Гц ± 2 % протягом 99,5 % часу за рік та 50 Гц ± 15 % протягом 100 % часу.</w:t>
      </w:r>
    </w:p>
    <w:p w14:paraId="2E282DE7" w14:textId="77777777" w:rsidR="00956B06" w:rsidRDefault="00757E63">
      <w:pPr>
        <w:shd w:val="clear" w:color="auto" w:fill="FFFFFF"/>
        <w:ind w:firstLine="567"/>
        <w:jc w:val="both"/>
        <w:rPr>
          <w:sz w:val="24"/>
          <w:szCs w:val="24"/>
        </w:rPr>
      </w:pPr>
      <w:r>
        <w:rPr>
          <w:sz w:val="24"/>
          <w:szCs w:val="24"/>
        </w:rPr>
        <w:t xml:space="preserve">Показник довготривалого </w:t>
      </w:r>
      <w:proofErr w:type="spellStart"/>
      <w:r>
        <w:rPr>
          <w:sz w:val="24"/>
          <w:szCs w:val="24"/>
        </w:rPr>
        <w:t>флікера</w:t>
      </w:r>
      <w:proofErr w:type="spellEnd"/>
      <w:r>
        <w:rPr>
          <w:sz w:val="24"/>
          <w:szCs w:val="24"/>
        </w:rPr>
        <w:t xml:space="preserve"> (мерехтіння), спричиненого коливанням напруги, для мереж низької напруги має бути меншим або рівним 1 для 95 % часу спостереження.</w:t>
      </w:r>
    </w:p>
    <w:p w14:paraId="5675C990" w14:textId="77777777" w:rsidR="00956B06" w:rsidRDefault="00757E63">
      <w:pPr>
        <w:shd w:val="clear" w:color="auto" w:fill="FFFFFF"/>
        <w:ind w:firstLine="567"/>
        <w:jc w:val="both"/>
        <w:rPr>
          <w:sz w:val="24"/>
          <w:szCs w:val="24"/>
        </w:rPr>
      </w:pPr>
      <w:r>
        <w:rPr>
          <w:sz w:val="24"/>
          <w:szCs w:val="24"/>
        </w:rPr>
        <w:t>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14:paraId="7FC2808F" w14:textId="77777777" w:rsidR="00956B06" w:rsidRDefault="00757E63">
      <w:pPr>
        <w:shd w:val="clear" w:color="auto" w:fill="FFFFFF"/>
        <w:ind w:firstLine="567"/>
        <w:jc w:val="both"/>
        <w:rPr>
          <w:sz w:val="18"/>
          <w:szCs w:val="18"/>
        </w:rPr>
      </w:pPr>
      <w:r>
        <w:rPr>
          <w:sz w:val="24"/>
          <w:szCs w:val="24"/>
        </w:rPr>
        <w:t>95 %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Style w:val="ab"/>
        <w:tblW w:w="9942" w:type="dxa"/>
        <w:tblInd w:w="0" w:type="dxa"/>
        <w:tblLayout w:type="fixed"/>
        <w:tblLook w:val="0400" w:firstRow="0" w:lastRow="0" w:firstColumn="0" w:lastColumn="0" w:noHBand="0" w:noVBand="1"/>
      </w:tblPr>
      <w:tblGrid>
        <w:gridCol w:w="1506"/>
        <w:gridCol w:w="1708"/>
        <w:gridCol w:w="1505"/>
        <w:gridCol w:w="2008"/>
        <w:gridCol w:w="1507"/>
        <w:gridCol w:w="1708"/>
      </w:tblGrid>
      <w:tr w:rsidR="00956B06" w14:paraId="4A73E787" w14:textId="77777777">
        <w:trPr>
          <w:trHeight w:val="284"/>
        </w:trPr>
        <w:tc>
          <w:tcPr>
            <w:tcW w:w="6727" w:type="dxa"/>
            <w:gridSpan w:val="4"/>
            <w:tcBorders>
              <w:top w:val="single" w:sz="8" w:space="0" w:color="000000"/>
              <w:left w:val="single" w:sz="8" w:space="0" w:color="000000"/>
              <w:bottom w:val="single" w:sz="8" w:space="0" w:color="000000"/>
              <w:right w:val="single" w:sz="8" w:space="0" w:color="000000"/>
            </w:tcBorders>
            <w:shd w:val="clear" w:color="auto" w:fill="FFFFFF"/>
          </w:tcPr>
          <w:p w14:paraId="63CAF9B0" w14:textId="77777777" w:rsidR="00956B06" w:rsidRDefault="00757E63">
            <w:pPr>
              <w:jc w:val="center"/>
              <w:rPr>
                <w:sz w:val="24"/>
                <w:szCs w:val="24"/>
              </w:rPr>
            </w:pPr>
            <w:bookmarkStart w:id="0" w:name="kix.i08q7hqyk75q" w:colFirst="0" w:colLast="0"/>
            <w:bookmarkEnd w:id="0"/>
            <w:r>
              <w:rPr>
                <w:sz w:val="24"/>
                <w:szCs w:val="24"/>
              </w:rPr>
              <w:t>Непарні гармоніки</w:t>
            </w:r>
          </w:p>
        </w:tc>
        <w:tc>
          <w:tcPr>
            <w:tcW w:w="3215" w:type="dxa"/>
            <w:gridSpan w:val="2"/>
            <w:vMerge w:val="restart"/>
            <w:tcBorders>
              <w:top w:val="single" w:sz="8" w:space="0" w:color="000000"/>
              <w:left w:val="nil"/>
              <w:bottom w:val="single" w:sz="8" w:space="0" w:color="000000"/>
              <w:right w:val="single" w:sz="8" w:space="0" w:color="000000"/>
            </w:tcBorders>
            <w:shd w:val="clear" w:color="auto" w:fill="FFFFFF"/>
          </w:tcPr>
          <w:p w14:paraId="7CD9CBFF" w14:textId="77777777" w:rsidR="00956B06" w:rsidRDefault="00757E63">
            <w:pPr>
              <w:jc w:val="center"/>
              <w:rPr>
                <w:sz w:val="24"/>
                <w:szCs w:val="24"/>
              </w:rPr>
            </w:pPr>
            <w:r>
              <w:rPr>
                <w:sz w:val="24"/>
                <w:szCs w:val="24"/>
              </w:rPr>
              <w:t>Парні гармоніки</w:t>
            </w:r>
          </w:p>
        </w:tc>
      </w:tr>
      <w:tr w:rsidR="00956B06" w14:paraId="6D48D4BF" w14:textId="77777777">
        <w:trPr>
          <w:trHeight w:val="284"/>
        </w:trPr>
        <w:tc>
          <w:tcPr>
            <w:tcW w:w="3214" w:type="dxa"/>
            <w:gridSpan w:val="2"/>
            <w:tcBorders>
              <w:top w:val="nil"/>
              <w:left w:val="single" w:sz="8" w:space="0" w:color="000000"/>
              <w:bottom w:val="single" w:sz="8" w:space="0" w:color="000000"/>
              <w:right w:val="single" w:sz="8" w:space="0" w:color="000000"/>
            </w:tcBorders>
            <w:shd w:val="clear" w:color="auto" w:fill="FFFFFF"/>
          </w:tcPr>
          <w:p w14:paraId="5B86037A" w14:textId="77777777" w:rsidR="00956B06" w:rsidRDefault="00757E63">
            <w:pPr>
              <w:jc w:val="center"/>
              <w:rPr>
                <w:sz w:val="24"/>
                <w:szCs w:val="24"/>
              </w:rPr>
            </w:pPr>
            <w:r>
              <w:rPr>
                <w:sz w:val="24"/>
                <w:szCs w:val="24"/>
              </w:rPr>
              <w:t>не кратні 3</w:t>
            </w:r>
          </w:p>
        </w:tc>
        <w:tc>
          <w:tcPr>
            <w:tcW w:w="3513" w:type="dxa"/>
            <w:gridSpan w:val="2"/>
            <w:tcBorders>
              <w:top w:val="nil"/>
              <w:left w:val="nil"/>
              <w:bottom w:val="single" w:sz="8" w:space="0" w:color="000000"/>
              <w:right w:val="single" w:sz="8" w:space="0" w:color="000000"/>
            </w:tcBorders>
            <w:shd w:val="clear" w:color="auto" w:fill="FFFFFF"/>
          </w:tcPr>
          <w:p w14:paraId="3F404C91" w14:textId="77777777" w:rsidR="00956B06" w:rsidRDefault="00757E63">
            <w:pPr>
              <w:jc w:val="center"/>
              <w:rPr>
                <w:sz w:val="24"/>
                <w:szCs w:val="24"/>
              </w:rPr>
            </w:pPr>
            <w:r>
              <w:rPr>
                <w:sz w:val="24"/>
                <w:szCs w:val="24"/>
              </w:rPr>
              <w:t>кратні 3</w:t>
            </w:r>
          </w:p>
        </w:tc>
        <w:tc>
          <w:tcPr>
            <w:tcW w:w="3215" w:type="dxa"/>
            <w:gridSpan w:val="2"/>
            <w:vMerge/>
            <w:tcBorders>
              <w:top w:val="single" w:sz="8" w:space="0" w:color="000000"/>
              <w:left w:val="nil"/>
              <w:bottom w:val="single" w:sz="8" w:space="0" w:color="000000"/>
              <w:right w:val="single" w:sz="8" w:space="0" w:color="000000"/>
            </w:tcBorders>
            <w:shd w:val="clear" w:color="auto" w:fill="FFFFFF"/>
          </w:tcPr>
          <w:p w14:paraId="20C62A13" w14:textId="77777777" w:rsidR="00956B06" w:rsidRDefault="00956B06">
            <w:pPr>
              <w:widowControl w:val="0"/>
              <w:spacing w:line="276" w:lineRule="auto"/>
              <w:rPr>
                <w:sz w:val="24"/>
                <w:szCs w:val="24"/>
              </w:rPr>
            </w:pPr>
          </w:p>
        </w:tc>
      </w:tr>
      <w:tr w:rsidR="00956B06" w14:paraId="36B3B7CF" w14:textId="77777777">
        <w:trPr>
          <w:trHeight w:val="284"/>
        </w:trPr>
        <w:tc>
          <w:tcPr>
            <w:tcW w:w="1506" w:type="dxa"/>
            <w:tcBorders>
              <w:top w:val="nil"/>
              <w:left w:val="single" w:sz="8" w:space="0" w:color="000000"/>
              <w:bottom w:val="single" w:sz="8" w:space="0" w:color="000000"/>
              <w:right w:val="single" w:sz="8" w:space="0" w:color="000000"/>
            </w:tcBorders>
            <w:shd w:val="clear" w:color="auto" w:fill="FFFFFF"/>
          </w:tcPr>
          <w:p w14:paraId="1E1685EB" w14:textId="77777777" w:rsidR="00956B06" w:rsidRDefault="00757E63">
            <w:pPr>
              <w:jc w:val="center"/>
              <w:rPr>
                <w:sz w:val="24"/>
                <w:szCs w:val="24"/>
              </w:rPr>
            </w:pPr>
            <w:r>
              <w:rPr>
                <w:sz w:val="24"/>
                <w:szCs w:val="24"/>
              </w:rPr>
              <w:t>порядок</w:t>
            </w:r>
          </w:p>
        </w:tc>
        <w:tc>
          <w:tcPr>
            <w:tcW w:w="1708" w:type="dxa"/>
            <w:tcBorders>
              <w:top w:val="nil"/>
              <w:left w:val="nil"/>
              <w:bottom w:val="single" w:sz="8" w:space="0" w:color="000000"/>
              <w:right w:val="single" w:sz="8" w:space="0" w:color="000000"/>
            </w:tcBorders>
            <w:shd w:val="clear" w:color="auto" w:fill="FFFFFF"/>
          </w:tcPr>
          <w:p w14:paraId="611C5CD0" w14:textId="77777777" w:rsidR="00956B06" w:rsidRDefault="00757E63">
            <w:pPr>
              <w:jc w:val="center"/>
              <w:rPr>
                <w:sz w:val="24"/>
                <w:szCs w:val="24"/>
              </w:rPr>
            </w:pPr>
            <w:r>
              <w:rPr>
                <w:sz w:val="24"/>
                <w:szCs w:val="24"/>
              </w:rPr>
              <w:t>відносна амплітуда</w:t>
            </w:r>
          </w:p>
        </w:tc>
        <w:tc>
          <w:tcPr>
            <w:tcW w:w="1505" w:type="dxa"/>
            <w:tcBorders>
              <w:top w:val="nil"/>
              <w:left w:val="nil"/>
              <w:bottom w:val="single" w:sz="8" w:space="0" w:color="000000"/>
              <w:right w:val="single" w:sz="8" w:space="0" w:color="000000"/>
            </w:tcBorders>
            <w:shd w:val="clear" w:color="auto" w:fill="FFFFFF"/>
          </w:tcPr>
          <w:p w14:paraId="18218C9A" w14:textId="77777777" w:rsidR="00956B06" w:rsidRDefault="00757E63">
            <w:pPr>
              <w:jc w:val="center"/>
              <w:rPr>
                <w:sz w:val="24"/>
                <w:szCs w:val="24"/>
              </w:rPr>
            </w:pPr>
            <w:r>
              <w:rPr>
                <w:sz w:val="24"/>
                <w:szCs w:val="24"/>
              </w:rPr>
              <w:t>порядок</w:t>
            </w:r>
          </w:p>
        </w:tc>
        <w:tc>
          <w:tcPr>
            <w:tcW w:w="2008" w:type="dxa"/>
            <w:tcBorders>
              <w:top w:val="nil"/>
              <w:left w:val="nil"/>
              <w:bottom w:val="single" w:sz="8" w:space="0" w:color="000000"/>
              <w:right w:val="single" w:sz="8" w:space="0" w:color="000000"/>
            </w:tcBorders>
            <w:shd w:val="clear" w:color="auto" w:fill="FFFFFF"/>
          </w:tcPr>
          <w:p w14:paraId="5A1BBF25" w14:textId="77777777" w:rsidR="00956B06" w:rsidRDefault="00757E63">
            <w:pPr>
              <w:jc w:val="center"/>
              <w:rPr>
                <w:sz w:val="24"/>
                <w:szCs w:val="24"/>
              </w:rPr>
            </w:pPr>
            <w:r>
              <w:rPr>
                <w:sz w:val="24"/>
                <w:szCs w:val="24"/>
              </w:rPr>
              <w:t>відносна амплітуда</w:t>
            </w:r>
          </w:p>
        </w:tc>
        <w:tc>
          <w:tcPr>
            <w:tcW w:w="1507" w:type="dxa"/>
            <w:tcBorders>
              <w:top w:val="nil"/>
              <w:left w:val="nil"/>
              <w:bottom w:val="single" w:sz="8" w:space="0" w:color="000000"/>
              <w:right w:val="single" w:sz="8" w:space="0" w:color="000000"/>
            </w:tcBorders>
            <w:shd w:val="clear" w:color="auto" w:fill="FFFFFF"/>
          </w:tcPr>
          <w:p w14:paraId="7580C80D" w14:textId="77777777" w:rsidR="00956B06" w:rsidRDefault="00757E63">
            <w:pPr>
              <w:jc w:val="center"/>
              <w:rPr>
                <w:sz w:val="24"/>
                <w:szCs w:val="24"/>
              </w:rPr>
            </w:pPr>
            <w:r>
              <w:rPr>
                <w:sz w:val="24"/>
                <w:szCs w:val="24"/>
              </w:rPr>
              <w:t>порядок</w:t>
            </w:r>
          </w:p>
        </w:tc>
        <w:tc>
          <w:tcPr>
            <w:tcW w:w="1708" w:type="dxa"/>
            <w:tcBorders>
              <w:top w:val="nil"/>
              <w:left w:val="nil"/>
              <w:bottom w:val="single" w:sz="8" w:space="0" w:color="000000"/>
              <w:right w:val="single" w:sz="8" w:space="0" w:color="000000"/>
            </w:tcBorders>
            <w:shd w:val="clear" w:color="auto" w:fill="FFFFFF"/>
          </w:tcPr>
          <w:p w14:paraId="6887A437" w14:textId="77777777" w:rsidR="00956B06" w:rsidRDefault="00757E63">
            <w:pPr>
              <w:jc w:val="center"/>
              <w:rPr>
                <w:sz w:val="24"/>
                <w:szCs w:val="24"/>
              </w:rPr>
            </w:pPr>
            <w:r>
              <w:rPr>
                <w:sz w:val="24"/>
                <w:szCs w:val="24"/>
              </w:rPr>
              <w:t>відносна амплітуда</w:t>
            </w:r>
          </w:p>
        </w:tc>
      </w:tr>
      <w:tr w:rsidR="00956B06" w14:paraId="3D7F2754" w14:textId="77777777">
        <w:trPr>
          <w:trHeight w:val="284"/>
        </w:trPr>
        <w:tc>
          <w:tcPr>
            <w:tcW w:w="1506" w:type="dxa"/>
            <w:tcBorders>
              <w:top w:val="nil"/>
              <w:left w:val="single" w:sz="8" w:space="0" w:color="000000"/>
              <w:bottom w:val="single" w:sz="8" w:space="0" w:color="000000"/>
              <w:right w:val="single" w:sz="8" w:space="0" w:color="000000"/>
            </w:tcBorders>
            <w:shd w:val="clear" w:color="auto" w:fill="FFFFFF"/>
          </w:tcPr>
          <w:p w14:paraId="279F5445" w14:textId="77777777" w:rsidR="00956B06" w:rsidRDefault="00757E63">
            <w:pPr>
              <w:jc w:val="center"/>
              <w:rPr>
                <w:sz w:val="24"/>
                <w:szCs w:val="24"/>
              </w:rPr>
            </w:pPr>
            <w:r>
              <w:rPr>
                <w:sz w:val="24"/>
                <w:szCs w:val="24"/>
              </w:rPr>
              <w:t>5</w:t>
            </w:r>
          </w:p>
        </w:tc>
        <w:tc>
          <w:tcPr>
            <w:tcW w:w="1708" w:type="dxa"/>
            <w:tcBorders>
              <w:top w:val="nil"/>
              <w:left w:val="nil"/>
              <w:bottom w:val="single" w:sz="8" w:space="0" w:color="000000"/>
              <w:right w:val="single" w:sz="8" w:space="0" w:color="000000"/>
            </w:tcBorders>
            <w:shd w:val="clear" w:color="auto" w:fill="FFFFFF"/>
          </w:tcPr>
          <w:p w14:paraId="2670AD44" w14:textId="77777777" w:rsidR="00956B06" w:rsidRDefault="00757E63">
            <w:pPr>
              <w:jc w:val="center"/>
              <w:rPr>
                <w:sz w:val="24"/>
                <w:szCs w:val="24"/>
              </w:rPr>
            </w:pPr>
            <w:r>
              <w:rPr>
                <w:sz w:val="24"/>
                <w:szCs w:val="24"/>
              </w:rPr>
              <w:t>6,0 %</w:t>
            </w:r>
          </w:p>
        </w:tc>
        <w:tc>
          <w:tcPr>
            <w:tcW w:w="1505" w:type="dxa"/>
            <w:tcBorders>
              <w:top w:val="nil"/>
              <w:left w:val="nil"/>
              <w:bottom w:val="single" w:sz="8" w:space="0" w:color="000000"/>
              <w:right w:val="single" w:sz="8" w:space="0" w:color="000000"/>
            </w:tcBorders>
            <w:shd w:val="clear" w:color="auto" w:fill="FFFFFF"/>
          </w:tcPr>
          <w:p w14:paraId="4BB3C725" w14:textId="77777777" w:rsidR="00956B06" w:rsidRDefault="00757E63">
            <w:pPr>
              <w:jc w:val="center"/>
              <w:rPr>
                <w:sz w:val="24"/>
                <w:szCs w:val="24"/>
              </w:rPr>
            </w:pPr>
            <w:r>
              <w:rPr>
                <w:sz w:val="24"/>
                <w:szCs w:val="24"/>
              </w:rPr>
              <w:t>3</w:t>
            </w:r>
          </w:p>
        </w:tc>
        <w:tc>
          <w:tcPr>
            <w:tcW w:w="2008" w:type="dxa"/>
            <w:tcBorders>
              <w:top w:val="nil"/>
              <w:left w:val="nil"/>
              <w:bottom w:val="single" w:sz="8" w:space="0" w:color="000000"/>
              <w:right w:val="single" w:sz="8" w:space="0" w:color="000000"/>
            </w:tcBorders>
            <w:shd w:val="clear" w:color="auto" w:fill="FFFFFF"/>
          </w:tcPr>
          <w:p w14:paraId="4AEBAE2F" w14:textId="77777777" w:rsidR="00956B06" w:rsidRDefault="00757E63">
            <w:pPr>
              <w:jc w:val="center"/>
              <w:rPr>
                <w:sz w:val="24"/>
                <w:szCs w:val="24"/>
              </w:rPr>
            </w:pPr>
            <w:r>
              <w:rPr>
                <w:sz w:val="24"/>
                <w:szCs w:val="24"/>
              </w:rPr>
              <w:t>5,0 %</w:t>
            </w:r>
          </w:p>
        </w:tc>
        <w:tc>
          <w:tcPr>
            <w:tcW w:w="1507" w:type="dxa"/>
            <w:tcBorders>
              <w:top w:val="nil"/>
              <w:left w:val="nil"/>
              <w:bottom w:val="single" w:sz="8" w:space="0" w:color="000000"/>
              <w:right w:val="single" w:sz="8" w:space="0" w:color="000000"/>
            </w:tcBorders>
            <w:shd w:val="clear" w:color="auto" w:fill="FFFFFF"/>
          </w:tcPr>
          <w:p w14:paraId="4E860F73" w14:textId="77777777" w:rsidR="00956B06" w:rsidRDefault="00757E63">
            <w:pPr>
              <w:jc w:val="center"/>
              <w:rPr>
                <w:sz w:val="24"/>
                <w:szCs w:val="24"/>
              </w:rPr>
            </w:pPr>
            <w:r>
              <w:rPr>
                <w:sz w:val="24"/>
                <w:szCs w:val="24"/>
              </w:rPr>
              <w:t>2</w:t>
            </w:r>
          </w:p>
        </w:tc>
        <w:tc>
          <w:tcPr>
            <w:tcW w:w="1708" w:type="dxa"/>
            <w:tcBorders>
              <w:top w:val="nil"/>
              <w:left w:val="nil"/>
              <w:bottom w:val="single" w:sz="8" w:space="0" w:color="000000"/>
              <w:right w:val="single" w:sz="8" w:space="0" w:color="000000"/>
            </w:tcBorders>
            <w:shd w:val="clear" w:color="auto" w:fill="FFFFFF"/>
          </w:tcPr>
          <w:p w14:paraId="080B8878" w14:textId="77777777" w:rsidR="00956B06" w:rsidRDefault="00757E63">
            <w:pPr>
              <w:jc w:val="center"/>
              <w:rPr>
                <w:sz w:val="24"/>
                <w:szCs w:val="24"/>
              </w:rPr>
            </w:pPr>
            <w:r>
              <w:rPr>
                <w:sz w:val="24"/>
                <w:szCs w:val="24"/>
              </w:rPr>
              <w:t>2,0 %</w:t>
            </w:r>
          </w:p>
        </w:tc>
      </w:tr>
      <w:tr w:rsidR="00956B06" w14:paraId="1A57EE4B" w14:textId="77777777">
        <w:trPr>
          <w:trHeight w:val="284"/>
        </w:trPr>
        <w:tc>
          <w:tcPr>
            <w:tcW w:w="1506" w:type="dxa"/>
            <w:tcBorders>
              <w:top w:val="nil"/>
              <w:left w:val="single" w:sz="8" w:space="0" w:color="000000"/>
              <w:bottom w:val="single" w:sz="8" w:space="0" w:color="000000"/>
              <w:right w:val="single" w:sz="8" w:space="0" w:color="000000"/>
            </w:tcBorders>
            <w:shd w:val="clear" w:color="auto" w:fill="FFFFFF"/>
          </w:tcPr>
          <w:p w14:paraId="5214A325" w14:textId="77777777" w:rsidR="00956B06" w:rsidRDefault="00757E63">
            <w:pPr>
              <w:jc w:val="center"/>
              <w:rPr>
                <w:sz w:val="24"/>
                <w:szCs w:val="24"/>
              </w:rPr>
            </w:pPr>
            <w:r>
              <w:rPr>
                <w:sz w:val="24"/>
                <w:szCs w:val="24"/>
              </w:rPr>
              <w:t>7</w:t>
            </w:r>
          </w:p>
        </w:tc>
        <w:tc>
          <w:tcPr>
            <w:tcW w:w="1708" w:type="dxa"/>
            <w:tcBorders>
              <w:top w:val="nil"/>
              <w:left w:val="nil"/>
              <w:bottom w:val="single" w:sz="8" w:space="0" w:color="000000"/>
              <w:right w:val="single" w:sz="8" w:space="0" w:color="000000"/>
            </w:tcBorders>
            <w:shd w:val="clear" w:color="auto" w:fill="FFFFFF"/>
          </w:tcPr>
          <w:p w14:paraId="7CC3B647" w14:textId="77777777" w:rsidR="00956B06" w:rsidRDefault="00757E63">
            <w:pPr>
              <w:jc w:val="center"/>
              <w:rPr>
                <w:sz w:val="24"/>
                <w:szCs w:val="24"/>
              </w:rPr>
            </w:pPr>
            <w:r>
              <w:rPr>
                <w:sz w:val="24"/>
                <w:szCs w:val="24"/>
              </w:rPr>
              <w:t>5,0 %</w:t>
            </w:r>
          </w:p>
        </w:tc>
        <w:tc>
          <w:tcPr>
            <w:tcW w:w="1505" w:type="dxa"/>
            <w:tcBorders>
              <w:top w:val="nil"/>
              <w:left w:val="nil"/>
              <w:bottom w:val="single" w:sz="8" w:space="0" w:color="000000"/>
              <w:right w:val="single" w:sz="8" w:space="0" w:color="000000"/>
            </w:tcBorders>
            <w:shd w:val="clear" w:color="auto" w:fill="FFFFFF"/>
          </w:tcPr>
          <w:p w14:paraId="7B34BAF3" w14:textId="77777777" w:rsidR="00956B06" w:rsidRDefault="00757E63">
            <w:pPr>
              <w:jc w:val="center"/>
              <w:rPr>
                <w:sz w:val="24"/>
                <w:szCs w:val="24"/>
              </w:rPr>
            </w:pPr>
            <w:r>
              <w:rPr>
                <w:sz w:val="24"/>
                <w:szCs w:val="24"/>
              </w:rPr>
              <w:t>9</w:t>
            </w:r>
          </w:p>
        </w:tc>
        <w:tc>
          <w:tcPr>
            <w:tcW w:w="2008" w:type="dxa"/>
            <w:tcBorders>
              <w:top w:val="nil"/>
              <w:left w:val="nil"/>
              <w:bottom w:val="single" w:sz="8" w:space="0" w:color="000000"/>
              <w:right w:val="single" w:sz="8" w:space="0" w:color="000000"/>
            </w:tcBorders>
            <w:shd w:val="clear" w:color="auto" w:fill="FFFFFF"/>
          </w:tcPr>
          <w:p w14:paraId="30F4F18B" w14:textId="77777777" w:rsidR="00956B06" w:rsidRDefault="00757E63">
            <w:pPr>
              <w:jc w:val="center"/>
              <w:rPr>
                <w:sz w:val="24"/>
                <w:szCs w:val="24"/>
              </w:rPr>
            </w:pPr>
            <w:r>
              <w:rPr>
                <w:sz w:val="24"/>
                <w:szCs w:val="24"/>
              </w:rPr>
              <w:t>1,5 %</w:t>
            </w:r>
          </w:p>
        </w:tc>
        <w:tc>
          <w:tcPr>
            <w:tcW w:w="1507" w:type="dxa"/>
            <w:tcBorders>
              <w:top w:val="nil"/>
              <w:left w:val="nil"/>
              <w:bottom w:val="single" w:sz="8" w:space="0" w:color="000000"/>
              <w:right w:val="single" w:sz="8" w:space="0" w:color="000000"/>
            </w:tcBorders>
            <w:shd w:val="clear" w:color="auto" w:fill="FFFFFF"/>
          </w:tcPr>
          <w:p w14:paraId="3FE31F50" w14:textId="77777777" w:rsidR="00956B06" w:rsidRDefault="00757E63">
            <w:pPr>
              <w:jc w:val="center"/>
              <w:rPr>
                <w:sz w:val="24"/>
                <w:szCs w:val="24"/>
              </w:rPr>
            </w:pPr>
            <w:r>
              <w:rPr>
                <w:sz w:val="24"/>
                <w:szCs w:val="24"/>
              </w:rPr>
              <w:t>4</w:t>
            </w:r>
          </w:p>
        </w:tc>
        <w:tc>
          <w:tcPr>
            <w:tcW w:w="1708" w:type="dxa"/>
            <w:tcBorders>
              <w:top w:val="nil"/>
              <w:left w:val="nil"/>
              <w:bottom w:val="single" w:sz="8" w:space="0" w:color="000000"/>
              <w:right w:val="single" w:sz="8" w:space="0" w:color="000000"/>
            </w:tcBorders>
            <w:shd w:val="clear" w:color="auto" w:fill="FFFFFF"/>
          </w:tcPr>
          <w:p w14:paraId="07351449" w14:textId="77777777" w:rsidR="00956B06" w:rsidRDefault="00757E63">
            <w:pPr>
              <w:jc w:val="center"/>
              <w:rPr>
                <w:sz w:val="24"/>
                <w:szCs w:val="24"/>
              </w:rPr>
            </w:pPr>
            <w:r>
              <w:rPr>
                <w:sz w:val="24"/>
                <w:szCs w:val="24"/>
              </w:rPr>
              <w:t>1,0 %</w:t>
            </w:r>
          </w:p>
        </w:tc>
      </w:tr>
      <w:tr w:rsidR="00956B06" w14:paraId="1B62A3F1" w14:textId="77777777">
        <w:trPr>
          <w:trHeight w:val="284"/>
        </w:trPr>
        <w:tc>
          <w:tcPr>
            <w:tcW w:w="1506" w:type="dxa"/>
            <w:tcBorders>
              <w:top w:val="nil"/>
              <w:left w:val="single" w:sz="8" w:space="0" w:color="000000"/>
              <w:bottom w:val="single" w:sz="8" w:space="0" w:color="000000"/>
              <w:right w:val="single" w:sz="8" w:space="0" w:color="000000"/>
            </w:tcBorders>
            <w:shd w:val="clear" w:color="auto" w:fill="FFFFFF"/>
          </w:tcPr>
          <w:p w14:paraId="3A5D6872" w14:textId="77777777" w:rsidR="00956B06" w:rsidRDefault="00757E63">
            <w:pPr>
              <w:jc w:val="center"/>
              <w:rPr>
                <w:sz w:val="24"/>
                <w:szCs w:val="24"/>
              </w:rPr>
            </w:pPr>
            <w:r>
              <w:rPr>
                <w:sz w:val="24"/>
                <w:szCs w:val="24"/>
              </w:rPr>
              <w:t>11</w:t>
            </w:r>
          </w:p>
        </w:tc>
        <w:tc>
          <w:tcPr>
            <w:tcW w:w="1708" w:type="dxa"/>
            <w:tcBorders>
              <w:top w:val="nil"/>
              <w:left w:val="nil"/>
              <w:bottom w:val="single" w:sz="8" w:space="0" w:color="000000"/>
              <w:right w:val="single" w:sz="8" w:space="0" w:color="000000"/>
            </w:tcBorders>
            <w:shd w:val="clear" w:color="auto" w:fill="FFFFFF"/>
          </w:tcPr>
          <w:p w14:paraId="2C7CB5E8" w14:textId="77777777" w:rsidR="00956B06" w:rsidRDefault="00757E63">
            <w:pPr>
              <w:jc w:val="center"/>
              <w:rPr>
                <w:sz w:val="24"/>
                <w:szCs w:val="24"/>
              </w:rPr>
            </w:pPr>
            <w:r>
              <w:rPr>
                <w:sz w:val="24"/>
                <w:szCs w:val="24"/>
              </w:rPr>
              <w:t>3,5 %</w:t>
            </w:r>
          </w:p>
        </w:tc>
        <w:tc>
          <w:tcPr>
            <w:tcW w:w="1505" w:type="dxa"/>
            <w:tcBorders>
              <w:top w:val="nil"/>
              <w:left w:val="nil"/>
              <w:bottom w:val="single" w:sz="8" w:space="0" w:color="000000"/>
              <w:right w:val="single" w:sz="8" w:space="0" w:color="000000"/>
            </w:tcBorders>
            <w:shd w:val="clear" w:color="auto" w:fill="FFFFFF"/>
          </w:tcPr>
          <w:p w14:paraId="475B4C9D" w14:textId="77777777" w:rsidR="00956B06" w:rsidRDefault="00757E63">
            <w:pPr>
              <w:jc w:val="center"/>
              <w:rPr>
                <w:sz w:val="24"/>
                <w:szCs w:val="24"/>
              </w:rPr>
            </w:pPr>
            <w:r>
              <w:rPr>
                <w:sz w:val="24"/>
                <w:szCs w:val="24"/>
              </w:rPr>
              <w:t>15</w:t>
            </w:r>
          </w:p>
        </w:tc>
        <w:tc>
          <w:tcPr>
            <w:tcW w:w="2008" w:type="dxa"/>
            <w:tcBorders>
              <w:top w:val="nil"/>
              <w:left w:val="nil"/>
              <w:bottom w:val="single" w:sz="8" w:space="0" w:color="000000"/>
              <w:right w:val="single" w:sz="8" w:space="0" w:color="000000"/>
            </w:tcBorders>
            <w:shd w:val="clear" w:color="auto" w:fill="FFFFFF"/>
          </w:tcPr>
          <w:p w14:paraId="1496F9E1" w14:textId="77777777" w:rsidR="00956B06" w:rsidRDefault="00757E63">
            <w:pPr>
              <w:jc w:val="center"/>
              <w:rPr>
                <w:sz w:val="24"/>
                <w:szCs w:val="24"/>
              </w:rPr>
            </w:pPr>
            <w:r>
              <w:rPr>
                <w:sz w:val="24"/>
                <w:szCs w:val="24"/>
              </w:rPr>
              <w:t>1,5 %</w:t>
            </w:r>
          </w:p>
        </w:tc>
        <w:tc>
          <w:tcPr>
            <w:tcW w:w="1507" w:type="dxa"/>
            <w:tcBorders>
              <w:top w:val="nil"/>
              <w:left w:val="nil"/>
              <w:bottom w:val="single" w:sz="8" w:space="0" w:color="000000"/>
              <w:right w:val="single" w:sz="8" w:space="0" w:color="000000"/>
            </w:tcBorders>
            <w:shd w:val="clear" w:color="auto" w:fill="FFFFFF"/>
          </w:tcPr>
          <w:p w14:paraId="7EFCF437" w14:textId="77777777" w:rsidR="00956B06" w:rsidRDefault="00757E63">
            <w:pPr>
              <w:jc w:val="center"/>
              <w:rPr>
                <w:sz w:val="24"/>
                <w:szCs w:val="24"/>
              </w:rPr>
            </w:pPr>
            <w:r>
              <w:rPr>
                <w:sz w:val="24"/>
                <w:szCs w:val="24"/>
              </w:rPr>
              <w:t>6…24</w:t>
            </w:r>
          </w:p>
        </w:tc>
        <w:tc>
          <w:tcPr>
            <w:tcW w:w="1708" w:type="dxa"/>
            <w:tcBorders>
              <w:top w:val="nil"/>
              <w:left w:val="nil"/>
              <w:bottom w:val="single" w:sz="8" w:space="0" w:color="000000"/>
              <w:right w:val="single" w:sz="8" w:space="0" w:color="000000"/>
            </w:tcBorders>
            <w:shd w:val="clear" w:color="auto" w:fill="FFFFFF"/>
          </w:tcPr>
          <w:p w14:paraId="4931ED1F" w14:textId="77777777" w:rsidR="00956B06" w:rsidRDefault="00757E63">
            <w:pPr>
              <w:jc w:val="center"/>
              <w:rPr>
                <w:sz w:val="24"/>
                <w:szCs w:val="24"/>
              </w:rPr>
            </w:pPr>
            <w:r>
              <w:rPr>
                <w:sz w:val="24"/>
                <w:szCs w:val="24"/>
              </w:rPr>
              <w:t>0,5 %</w:t>
            </w:r>
          </w:p>
        </w:tc>
      </w:tr>
      <w:tr w:rsidR="00956B06" w14:paraId="10A36764" w14:textId="77777777">
        <w:trPr>
          <w:trHeight w:val="284"/>
        </w:trPr>
        <w:tc>
          <w:tcPr>
            <w:tcW w:w="1506" w:type="dxa"/>
            <w:tcBorders>
              <w:top w:val="nil"/>
              <w:left w:val="single" w:sz="8" w:space="0" w:color="000000"/>
              <w:bottom w:val="single" w:sz="8" w:space="0" w:color="000000"/>
              <w:right w:val="single" w:sz="8" w:space="0" w:color="000000"/>
            </w:tcBorders>
            <w:shd w:val="clear" w:color="auto" w:fill="FFFFFF"/>
          </w:tcPr>
          <w:p w14:paraId="32381AAF" w14:textId="77777777" w:rsidR="00956B06" w:rsidRDefault="00757E63">
            <w:pPr>
              <w:jc w:val="center"/>
              <w:rPr>
                <w:sz w:val="24"/>
                <w:szCs w:val="24"/>
              </w:rPr>
            </w:pPr>
            <w:r>
              <w:rPr>
                <w:sz w:val="24"/>
                <w:szCs w:val="24"/>
              </w:rPr>
              <w:t>13</w:t>
            </w:r>
          </w:p>
        </w:tc>
        <w:tc>
          <w:tcPr>
            <w:tcW w:w="1708" w:type="dxa"/>
            <w:tcBorders>
              <w:top w:val="nil"/>
              <w:left w:val="nil"/>
              <w:bottom w:val="single" w:sz="8" w:space="0" w:color="000000"/>
              <w:right w:val="single" w:sz="8" w:space="0" w:color="000000"/>
            </w:tcBorders>
            <w:shd w:val="clear" w:color="auto" w:fill="FFFFFF"/>
          </w:tcPr>
          <w:p w14:paraId="2D648604" w14:textId="77777777" w:rsidR="00956B06" w:rsidRDefault="00757E63">
            <w:pPr>
              <w:jc w:val="center"/>
              <w:rPr>
                <w:sz w:val="24"/>
                <w:szCs w:val="24"/>
              </w:rPr>
            </w:pPr>
            <w:r>
              <w:rPr>
                <w:sz w:val="24"/>
                <w:szCs w:val="24"/>
              </w:rPr>
              <w:t>3,0 %</w:t>
            </w:r>
          </w:p>
        </w:tc>
        <w:tc>
          <w:tcPr>
            <w:tcW w:w="1505" w:type="dxa"/>
            <w:tcBorders>
              <w:top w:val="nil"/>
              <w:left w:val="nil"/>
              <w:bottom w:val="single" w:sz="8" w:space="0" w:color="000000"/>
              <w:right w:val="single" w:sz="8" w:space="0" w:color="000000"/>
            </w:tcBorders>
            <w:shd w:val="clear" w:color="auto" w:fill="FFFFFF"/>
          </w:tcPr>
          <w:p w14:paraId="04760426" w14:textId="77777777" w:rsidR="00956B06" w:rsidRDefault="00757E63">
            <w:pPr>
              <w:jc w:val="center"/>
              <w:rPr>
                <w:sz w:val="24"/>
                <w:szCs w:val="24"/>
              </w:rPr>
            </w:pPr>
            <w:r>
              <w:rPr>
                <w:sz w:val="24"/>
                <w:szCs w:val="24"/>
              </w:rPr>
              <w:t>21</w:t>
            </w:r>
          </w:p>
        </w:tc>
        <w:tc>
          <w:tcPr>
            <w:tcW w:w="2008" w:type="dxa"/>
            <w:tcBorders>
              <w:top w:val="nil"/>
              <w:left w:val="nil"/>
              <w:bottom w:val="single" w:sz="8" w:space="0" w:color="000000"/>
              <w:right w:val="single" w:sz="8" w:space="0" w:color="000000"/>
            </w:tcBorders>
            <w:shd w:val="clear" w:color="auto" w:fill="FFFFFF"/>
          </w:tcPr>
          <w:p w14:paraId="3E89DE3A" w14:textId="77777777" w:rsidR="00956B06" w:rsidRDefault="00757E63">
            <w:pPr>
              <w:jc w:val="center"/>
              <w:rPr>
                <w:sz w:val="24"/>
                <w:szCs w:val="24"/>
              </w:rPr>
            </w:pPr>
            <w:r>
              <w:rPr>
                <w:sz w:val="24"/>
                <w:szCs w:val="24"/>
              </w:rPr>
              <w:t>0,5 %</w:t>
            </w:r>
          </w:p>
        </w:tc>
        <w:tc>
          <w:tcPr>
            <w:tcW w:w="1507" w:type="dxa"/>
            <w:tcBorders>
              <w:top w:val="nil"/>
              <w:left w:val="nil"/>
              <w:bottom w:val="single" w:sz="8" w:space="0" w:color="000000"/>
              <w:right w:val="single" w:sz="8" w:space="0" w:color="000000"/>
            </w:tcBorders>
            <w:shd w:val="clear" w:color="auto" w:fill="FFFFFF"/>
          </w:tcPr>
          <w:p w14:paraId="4A1F284B" w14:textId="77777777" w:rsidR="00956B06" w:rsidRDefault="00956B06">
            <w:pPr>
              <w:jc w:val="both"/>
              <w:rPr>
                <w:sz w:val="18"/>
                <w:szCs w:val="18"/>
              </w:rPr>
            </w:pPr>
          </w:p>
        </w:tc>
        <w:tc>
          <w:tcPr>
            <w:tcW w:w="1708" w:type="dxa"/>
            <w:tcBorders>
              <w:top w:val="nil"/>
              <w:left w:val="nil"/>
              <w:bottom w:val="single" w:sz="8" w:space="0" w:color="000000"/>
              <w:right w:val="single" w:sz="8" w:space="0" w:color="000000"/>
            </w:tcBorders>
            <w:shd w:val="clear" w:color="auto" w:fill="FFFFFF"/>
          </w:tcPr>
          <w:p w14:paraId="28599B31" w14:textId="77777777" w:rsidR="00956B06" w:rsidRDefault="00956B06">
            <w:pPr>
              <w:jc w:val="both"/>
              <w:rPr>
                <w:sz w:val="18"/>
                <w:szCs w:val="18"/>
              </w:rPr>
            </w:pPr>
          </w:p>
        </w:tc>
      </w:tr>
      <w:tr w:rsidR="00956B06" w14:paraId="7269B3C5" w14:textId="77777777">
        <w:trPr>
          <w:trHeight w:val="284"/>
        </w:trPr>
        <w:tc>
          <w:tcPr>
            <w:tcW w:w="1506" w:type="dxa"/>
            <w:tcBorders>
              <w:top w:val="nil"/>
              <w:left w:val="single" w:sz="8" w:space="0" w:color="000000"/>
              <w:bottom w:val="single" w:sz="8" w:space="0" w:color="000000"/>
              <w:right w:val="single" w:sz="8" w:space="0" w:color="000000"/>
            </w:tcBorders>
            <w:shd w:val="clear" w:color="auto" w:fill="FFFFFF"/>
          </w:tcPr>
          <w:p w14:paraId="67C230D5" w14:textId="77777777" w:rsidR="00956B06" w:rsidRDefault="00757E63">
            <w:pPr>
              <w:jc w:val="center"/>
              <w:rPr>
                <w:sz w:val="24"/>
                <w:szCs w:val="24"/>
              </w:rPr>
            </w:pPr>
            <w:r>
              <w:rPr>
                <w:sz w:val="24"/>
                <w:szCs w:val="24"/>
              </w:rPr>
              <w:t>17</w:t>
            </w:r>
          </w:p>
        </w:tc>
        <w:tc>
          <w:tcPr>
            <w:tcW w:w="1708" w:type="dxa"/>
            <w:tcBorders>
              <w:top w:val="nil"/>
              <w:left w:val="nil"/>
              <w:bottom w:val="single" w:sz="8" w:space="0" w:color="000000"/>
              <w:right w:val="single" w:sz="8" w:space="0" w:color="000000"/>
            </w:tcBorders>
            <w:shd w:val="clear" w:color="auto" w:fill="FFFFFF"/>
          </w:tcPr>
          <w:p w14:paraId="1FD83C7D" w14:textId="77777777" w:rsidR="00956B06" w:rsidRDefault="00757E63">
            <w:pPr>
              <w:jc w:val="center"/>
              <w:rPr>
                <w:sz w:val="24"/>
                <w:szCs w:val="24"/>
              </w:rPr>
            </w:pPr>
            <w:r>
              <w:rPr>
                <w:sz w:val="24"/>
                <w:szCs w:val="24"/>
              </w:rPr>
              <w:t>2,0 %</w:t>
            </w:r>
          </w:p>
        </w:tc>
        <w:tc>
          <w:tcPr>
            <w:tcW w:w="1505" w:type="dxa"/>
            <w:tcBorders>
              <w:top w:val="nil"/>
              <w:left w:val="nil"/>
              <w:bottom w:val="single" w:sz="8" w:space="0" w:color="000000"/>
              <w:right w:val="single" w:sz="8" w:space="0" w:color="000000"/>
            </w:tcBorders>
            <w:shd w:val="clear" w:color="auto" w:fill="FFFFFF"/>
          </w:tcPr>
          <w:p w14:paraId="45954A79" w14:textId="77777777" w:rsidR="00956B06" w:rsidRDefault="00956B06">
            <w:pPr>
              <w:jc w:val="both"/>
              <w:rPr>
                <w:sz w:val="18"/>
                <w:szCs w:val="18"/>
              </w:rPr>
            </w:pPr>
          </w:p>
        </w:tc>
        <w:tc>
          <w:tcPr>
            <w:tcW w:w="2008" w:type="dxa"/>
            <w:tcBorders>
              <w:top w:val="nil"/>
              <w:left w:val="nil"/>
              <w:bottom w:val="single" w:sz="8" w:space="0" w:color="000000"/>
              <w:right w:val="single" w:sz="8" w:space="0" w:color="000000"/>
            </w:tcBorders>
            <w:shd w:val="clear" w:color="auto" w:fill="FFFFFF"/>
          </w:tcPr>
          <w:p w14:paraId="0B56CD3E" w14:textId="77777777" w:rsidR="00956B06" w:rsidRDefault="00956B06">
            <w:pPr>
              <w:jc w:val="both"/>
              <w:rPr>
                <w:sz w:val="18"/>
                <w:szCs w:val="18"/>
              </w:rPr>
            </w:pPr>
          </w:p>
        </w:tc>
        <w:tc>
          <w:tcPr>
            <w:tcW w:w="1507" w:type="dxa"/>
            <w:tcBorders>
              <w:top w:val="nil"/>
              <w:left w:val="nil"/>
              <w:bottom w:val="single" w:sz="8" w:space="0" w:color="000000"/>
              <w:right w:val="single" w:sz="8" w:space="0" w:color="000000"/>
            </w:tcBorders>
            <w:shd w:val="clear" w:color="auto" w:fill="FFFFFF"/>
          </w:tcPr>
          <w:p w14:paraId="1C0C695D" w14:textId="77777777" w:rsidR="00956B06" w:rsidRDefault="00956B06">
            <w:pPr>
              <w:jc w:val="both"/>
              <w:rPr>
                <w:sz w:val="18"/>
                <w:szCs w:val="18"/>
              </w:rPr>
            </w:pPr>
          </w:p>
        </w:tc>
        <w:tc>
          <w:tcPr>
            <w:tcW w:w="1708" w:type="dxa"/>
            <w:tcBorders>
              <w:top w:val="nil"/>
              <w:left w:val="nil"/>
              <w:bottom w:val="single" w:sz="8" w:space="0" w:color="000000"/>
              <w:right w:val="single" w:sz="8" w:space="0" w:color="000000"/>
            </w:tcBorders>
            <w:shd w:val="clear" w:color="auto" w:fill="FFFFFF"/>
          </w:tcPr>
          <w:p w14:paraId="2332E436" w14:textId="77777777" w:rsidR="00956B06" w:rsidRDefault="00956B06">
            <w:pPr>
              <w:jc w:val="both"/>
              <w:rPr>
                <w:sz w:val="18"/>
                <w:szCs w:val="18"/>
              </w:rPr>
            </w:pPr>
          </w:p>
        </w:tc>
      </w:tr>
      <w:tr w:rsidR="00956B06" w14:paraId="366596F7" w14:textId="77777777">
        <w:trPr>
          <w:trHeight w:val="284"/>
        </w:trPr>
        <w:tc>
          <w:tcPr>
            <w:tcW w:w="1506" w:type="dxa"/>
            <w:tcBorders>
              <w:top w:val="nil"/>
              <w:left w:val="single" w:sz="8" w:space="0" w:color="000000"/>
              <w:bottom w:val="single" w:sz="8" w:space="0" w:color="000000"/>
              <w:right w:val="single" w:sz="8" w:space="0" w:color="000000"/>
            </w:tcBorders>
            <w:shd w:val="clear" w:color="auto" w:fill="FFFFFF"/>
          </w:tcPr>
          <w:p w14:paraId="5C2289B2" w14:textId="77777777" w:rsidR="00956B06" w:rsidRDefault="00757E63">
            <w:pPr>
              <w:jc w:val="center"/>
              <w:rPr>
                <w:sz w:val="24"/>
                <w:szCs w:val="24"/>
              </w:rPr>
            </w:pPr>
            <w:r>
              <w:rPr>
                <w:sz w:val="24"/>
                <w:szCs w:val="24"/>
              </w:rPr>
              <w:t>19</w:t>
            </w:r>
          </w:p>
        </w:tc>
        <w:tc>
          <w:tcPr>
            <w:tcW w:w="1708" w:type="dxa"/>
            <w:tcBorders>
              <w:top w:val="nil"/>
              <w:left w:val="nil"/>
              <w:bottom w:val="single" w:sz="8" w:space="0" w:color="000000"/>
              <w:right w:val="single" w:sz="8" w:space="0" w:color="000000"/>
            </w:tcBorders>
            <w:shd w:val="clear" w:color="auto" w:fill="FFFFFF"/>
          </w:tcPr>
          <w:p w14:paraId="340958B1" w14:textId="77777777" w:rsidR="00956B06" w:rsidRDefault="00757E63">
            <w:pPr>
              <w:jc w:val="center"/>
              <w:rPr>
                <w:sz w:val="24"/>
                <w:szCs w:val="24"/>
              </w:rPr>
            </w:pPr>
            <w:r>
              <w:rPr>
                <w:sz w:val="24"/>
                <w:szCs w:val="24"/>
              </w:rPr>
              <w:t>1,5 %</w:t>
            </w:r>
          </w:p>
        </w:tc>
        <w:tc>
          <w:tcPr>
            <w:tcW w:w="1505" w:type="dxa"/>
            <w:tcBorders>
              <w:top w:val="nil"/>
              <w:left w:val="nil"/>
              <w:bottom w:val="single" w:sz="8" w:space="0" w:color="000000"/>
              <w:right w:val="single" w:sz="8" w:space="0" w:color="000000"/>
            </w:tcBorders>
            <w:shd w:val="clear" w:color="auto" w:fill="FFFFFF"/>
          </w:tcPr>
          <w:p w14:paraId="659C4EC6" w14:textId="77777777" w:rsidR="00956B06" w:rsidRDefault="00956B06">
            <w:pPr>
              <w:jc w:val="both"/>
              <w:rPr>
                <w:sz w:val="18"/>
                <w:szCs w:val="18"/>
              </w:rPr>
            </w:pPr>
          </w:p>
        </w:tc>
        <w:tc>
          <w:tcPr>
            <w:tcW w:w="2008" w:type="dxa"/>
            <w:tcBorders>
              <w:top w:val="nil"/>
              <w:left w:val="nil"/>
              <w:bottom w:val="single" w:sz="8" w:space="0" w:color="000000"/>
              <w:right w:val="single" w:sz="8" w:space="0" w:color="000000"/>
            </w:tcBorders>
            <w:shd w:val="clear" w:color="auto" w:fill="FFFFFF"/>
          </w:tcPr>
          <w:p w14:paraId="3886DEEB" w14:textId="77777777" w:rsidR="00956B06" w:rsidRDefault="00956B06">
            <w:pPr>
              <w:jc w:val="both"/>
              <w:rPr>
                <w:sz w:val="18"/>
                <w:szCs w:val="18"/>
              </w:rPr>
            </w:pPr>
          </w:p>
        </w:tc>
        <w:tc>
          <w:tcPr>
            <w:tcW w:w="1507" w:type="dxa"/>
            <w:tcBorders>
              <w:top w:val="nil"/>
              <w:left w:val="nil"/>
              <w:bottom w:val="single" w:sz="8" w:space="0" w:color="000000"/>
              <w:right w:val="single" w:sz="8" w:space="0" w:color="000000"/>
            </w:tcBorders>
            <w:shd w:val="clear" w:color="auto" w:fill="FFFFFF"/>
          </w:tcPr>
          <w:p w14:paraId="2922A0CF" w14:textId="77777777" w:rsidR="00956B06" w:rsidRDefault="00956B06">
            <w:pPr>
              <w:jc w:val="both"/>
              <w:rPr>
                <w:sz w:val="18"/>
                <w:szCs w:val="18"/>
              </w:rPr>
            </w:pPr>
          </w:p>
        </w:tc>
        <w:tc>
          <w:tcPr>
            <w:tcW w:w="1708" w:type="dxa"/>
            <w:tcBorders>
              <w:top w:val="nil"/>
              <w:left w:val="nil"/>
              <w:bottom w:val="single" w:sz="8" w:space="0" w:color="000000"/>
              <w:right w:val="single" w:sz="8" w:space="0" w:color="000000"/>
            </w:tcBorders>
            <w:shd w:val="clear" w:color="auto" w:fill="FFFFFF"/>
          </w:tcPr>
          <w:p w14:paraId="307FEAF5" w14:textId="77777777" w:rsidR="00956B06" w:rsidRDefault="00956B06">
            <w:pPr>
              <w:jc w:val="both"/>
              <w:rPr>
                <w:sz w:val="18"/>
                <w:szCs w:val="18"/>
              </w:rPr>
            </w:pPr>
          </w:p>
        </w:tc>
      </w:tr>
      <w:tr w:rsidR="00956B06" w14:paraId="6C2DF60C" w14:textId="77777777">
        <w:trPr>
          <w:trHeight w:val="284"/>
        </w:trPr>
        <w:tc>
          <w:tcPr>
            <w:tcW w:w="1506" w:type="dxa"/>
            <w:tcBorders>
              <w:top w:val="nil"/>
              <w:left w:val="single" w:sz="8" w:space="0" w:color="000000"/>
              <w:bottom w:val="single" w:sz="8" w:space="0" w:color="000000"/>
              <w:right w:val="single" w:sz="8" w:space="0" w:color="000000"/>
            </w:tcBorders>
            <w:shd w:val="clear" w:color="auto" w:fill="FFFFFF"/>
          </w:tcPr>
          <w:p w14:paraId="725D5306" w14:textId="77777777" w:rsidR="00956B06" w:rsidRDefault="00757E63">
            <w:pPr>
              <w:jc w:val="center"/>
              <w:rPr>
                <w:sz w:val="24"/>
                <w:szCs w:val="24"/>
              </w:rPr>
            </w:pPr>
            <w:r>
              <w:rPr>
                <w:sz w:val="24"/>
                <w:szCs w:val="24"/>
              </w:rPr>
              <w:t>23</w:t>
            </w:r>
          </w:p>
        </w:tc>
        <w:tc>
          <w:tcPr>
            <w:tcW w:w="1708" w:type="dxa"/>
            <w:tcBorders>
              <w:top w:val="nil"/>
              <w:left w:val="nil"/>
              <w:bottom w:val="single" w:sz="8" w:space="0" w:color="000000"/>
              <w:right w:val="single" w:sz="8" w:space="0" w:color="000000"/>
            </w:tcBorders>
            <w:shd w:val="clear" w:color="auto" w:fill="FFFFFF"/>
          </w:tcPr>
          <w:p w14:paraId="01471075" w14:textId="77777777" w:rsidR="00956B06" w:rsidRDefault="00757E63">
            <w:pPr>
              <w:jc w:val="center"/>
              <w:rPr>
                <w:sz w:val="24"/>
                <w:szCs w:val="24"/>
              </w:rPr>
            </w:pPr>
            <w:r>
              <w:rPr>
                <w:sz w:val="24"/>
                <w:szCs w:val="24"/>
              </w:rPr>
              <w:t>1,5 %</w:t>
            </w:r>
          </w:p>
        </w:tc>
        <w:tc>
          <w:tcPr>
            <w:tcW w:w="1505" w:type="dxa"/>
            <w:tcBorders>
              <w:top w:val="nil"/>
              <w:left w:val="nil"/>
              <w:bottom w:val="single" w:sz="8" w:space="0" w:color="000000"/>
              <w:right w:val="single" w:sz="8" w:space="0" w:color="000000"/>
            </w:tcBorders>
            <w:shd w:val="clear" w:color="auto" w:fill="FFFFFF"/>
          </w:tcPr>
          <w:p w14:paraId="1E4F14F9" w14:textId="77777777" w:rsidR="00956B06" w:rsidRDefault="00956B06">
            <w:pPr>
              <w:jc w:val="both"/>
              <w:rPr>
                <w:sz w:val="18"/>
                <w:szCs w:val="18"/>
              </w:rPr>
            </w:pPr>
          </w:p>
        </w:tc>
        <w:tc>
          <w:tcPr>
            <w:tcW w:w="2008" w:type="dxa"/>
            <w:tcBorders>
              <w:top w:val="nil"/>
              <w:left w:val="nil"/>
              <w:bottom w:val="single" w:sz="8" w:space="0" w:color="000000"/>
              <w:right w:val="single" w:sz="8" w:space="0" w:color="000000"/>
            </w:tcBorders>
            <w:shd w:val="clear" w:color="auto" w:fill="FFFFFF"/>
          </w:tcPr>
          <w:p w14:paraId="5AE45E56" w14:textId="77777777" w:rsidR="00956B06" w:rsidRDefault="00956B06">
            <w:pPr>
              <w:jc w:val="both"/>
              <w:rPr>
                <w:sz w:val="18"/>
                <w:szCs w:val="18"/>
              </w:rPr>
            </w:pPr>
          </w:p>
        </w:tc>
        <w:tc>
          <w:tcPr>
            <w:tcW w:w="1507" w:type="dxa"/>
            <w:tcBorders>
              <w:top w:val="nil"/>
              <w:left w:val="nil"/>
              <w:bottom w:val="single" w:sz="8" w:space="0" w:color="000000"/>
              <w:right w:val="single" w:sz="8" w:space="0" w:color="000000"/>
            </w:tcBorders>
            <w:shd w:val="clear" w:color="auto" w:fill="FFFFFF"/>
          </w:tcPr>
          <w:p w14:paraId="0603F255" w14:textId="77777777" w:rsidR="00956B06" w:rsidRDefault="00956B06">
            <w:pPr>
              <w:jc w:val="both"/>
              <w:rPr>
                <w:sz w:val="18"/>
                <w:szCs w:val="18"/>
              </w:rPr>
            </w:pPr>
          </w:p>
        </w:tc>
        <w:tc>
          <w:tcPr>
            <w:tcW w:w="1708" w:type="dxa"/>
            <w:tcBorders>
              <w:top w:val="nil"/>
              <w:left w:val="nil"/>
              <w:bottom w:val="single" w:sz="8" w:space="0" w:color="000000"/>
              <w:right w:val="single" w:sz="8" w:space="0" w:color="000000"/>
            </w:tcBorders>
            <w:shd w:val="clear" w:color="auto" w:fill="FFFFFF"/>
          </w:tcPr>
          <w:p w14:paraId="60746405" w14:textId="77777777" w:rsidR="00956B06" w:rsidRDefault="00956B06">
            <w:pPr>
              <w:jc w:val="both"/>
              <w:rPr>
                <w:sz w:val="18"/>
                <w:szCs w:val="18"/>
              </w:rPr>
            </w:pPr>
          </w:p>
        </w:tc>
      </w:tr>
      <w:tr w:rsidR="00956B06" w14:paraId="09B3B164" w14:textId="77777777">
        <w:trPr>
          <w:trHeight w:val="284"/>
        </w:trPr>
        <w:tc>
          <w:tcPr>
            <w:tcW w:w="1506" w:type="dxa"/>
            <w:tcBorders>
              <w:top w:val="nil"/>
              <w:left w:val="single" w:sz="8" w:space="0" w:color="000000"/>
              <w:bottom w:val="single" w:sz="8" w:space="0" w:color="000000"/>
              <w:right w:val="single" w:sz="8" w:space="0" w:color="000000"/>
            </w:tcBorders>
            <w:shd w:val="clear" w:color="auto" w:fill="FFFFFF"/>
          </w:tcPr>
          <w:p w14:paraId="3A450938" w14:textId="77777777" w:rsidR="00956B06" w:rsidRDefault="00757E63">
            <w:pPr>
              <w:jc w:val="center"/>
              <w:rPr>
                <w:sz w:val="24"/>
                <w:szCs w:val="24"/>
              </w:rPr>
            </w:pPr>
            <w:r>
              <w:rPr>
                <w:sz w:val="24"/>
                <w:szCs w:val="24"/>
              </w:rPr>
              <w:t>25</w:t>
            </w:r>
          </w:p>
        </w:tc>
        <w:tc>
          <w:tcPr>
            <w:tcW w:w="1708" w:type="dxa"/>
            <w:tcBorders>
              <w:top w:val="nil"/>
              <w:left w:val="nil"/>
              <w:bottom w:val="single" w:sz="8" w:space="0" w:color="000000"/>
              <w:right w:val="single" w:sz="8" w:space="0" w:color="000000"/>
            </w:tcBorders>
            <w:shd w:val="clear" w:color="auto" w:fill="FFFFFF"/>
          </w:tcPr>
          <w:p w14:paraId="057F81B0" w14:textId="77777777" w:rsidR="00956B06" w:rsidRDefault="00757E63">
            <w:pPr>
              <w:jc w:val="center"/>
              <w:rPr>
                <w:sz w:val="24"/>
                <w:szCs w:val="24"/>
              </w:rPr>
            </w:pPr>
            <w:r>
              <w:rPr>
                <w:sz w:val="24"/>
                <w:szCs w:val="24"/>
              </w:rPr>
              <w:t>1,5 %</w:t>
            </w:r>
          </w:p>
        </w:tc>
        <w:tc>
          <w:tcPr>
            <w:tcW w:w="1505" w:type="dxa"/>
            <w:tcBorders>
              <w:top w:val="nil"/>
              <w:left w:val="nil"/>
              <w:bottom w:val="single" w:sz="8" w:space="0" w:color="000000"/>
              <w:right w:val="single" w:sz="8" w:space="0" w:color="000000"/>
            </w:tcBorders>
            <w:shd w:val="clear" w:color="auto" w:fill="FFFFFF"/>
          </w:tcPr>
          <w:p w14:paraId="079EF656" w14:textId="77777777" w:rsidR="00956B06" w:rsidRDefault="00956B06">
            <w:pPr>
              <w:jc w:val="both"/>
              <w:rPr>
                <w:sz w:val="18"/>
                <w:szCs w:val="18"/>
              </w:rPr>
            </w:pPr>
          </w:p>
        </w:tc>
        <w:tc>
          <w:tcPr>
            <w:tcW w:w="2008" w:type="dxa"/>
            <w:tcBorders>
              <w:top w:val="nil"/>
              <w:left w:val="nil"/>
              <w:bottom w:val="single" w:sz="8" w:space="0" w:color="000000"/>
              <w:right w:val="single" w:sz="8" w:space="0" w:color="000000"/>
            </w:tcBorders>
            <w:shd w:val="clear" w:color="auto" w:fill="FFFFFF"/>
          </w:tcPr>
          <w:p w14:paraId="785CF9F6" w14:textId="77777777" w:rsidR="00956B06" w:rsidRDefault="00956B06">
            <w:pPr>
              <w:jc w:val="both"/>
              <w:rPr>
                <w:sz w:val="18"/>
                <w:szCs w:val="18"/>
              </w:rPr>
            </w:pPr>
          </w:p>
        </w:tc>
        <w:tc>
          <w:tcPr>
            <w:tcW w:w="1507" w:type="dxa"/>
            <w:tcBorders>
              <w:top w:val="nil"/>
              <w:left w:val="nil"/>
              <w:bottom w:val="single" w:sz="8" w:space="0" w:color="000000"/>
              <w:right w:val="single" w:sz="8" w:space="0" w:color="000000"/>
            </w:tcBorders>
            <w:shd w:val="clear" w:color="auto" w:fill="FFFFFF"/>
          </w:tcPr>
          <w:p w14:paraId="21EE3F77" w14:textId="77777777" w:rsidR="00956B06" w:rsidRDefault="00956B06">
            <w:pPr>
              <w:jc w:val="both"/>
              <w:rPr>
                <w:sz w:val="18"/>
                <w:szCs w:val="18"/>
              </w:rPr>
            </w:pPr>
          </w:p>
        </w:tc>
        <w:tc>
          <w:tcPr>
            <w:tcW w:w="1708" w:type="dxa"/>
            <w:tcBorders>
              <w:top w:val="nil"/>
              <w:left w:val="nil"/>
              <w:bottom w:val="single" w:sz="8" w:space="0" w:color="000000"/>
              <w:right w:val="single" w:sz="8" w:space="0" w:color="000000"/>
            </w:tcBorders>
            <w:shd w:val="clear" w:color="auto" w:fill="FFFFFF"/>
          </w:tcPr>
          <w:p w14:paraId="4C057DB0" w14:textId="77777777" w:rsidR="00956B06" w:rsidRDefault="00956B06">
            <w:pPr>
              <w:jc w:val="both"/>
              <w:rPr>
                <w:sz w:val="18"/>
                <w:szCs w:val="18"/>
              </w:rPr>
            </w:pPr>
          </w:p>
        </w:tc>
      </w:tr>
    </w:tbl>
    <w:p w14:paraId="4DA904BF" w14:textId="77777777" w:rsidR="00956B06" w:rsidRDefault="00757E63">
      <w:pPr>
        <w:shd w:val="clear" w:color="auto" w:fill="FFFFFF"/>
        <w:ind w:firstLine="567"/>
        <w:jc w:val="both"/>
        <w:rPr>
          <w:sz w:val="18"/>
          <w:szCs w:val="18"/>
        </w:rPr>
      </w:pPr>
      <w:r>
        <w:rPr>
          <w:sz w:val="24"/>
          <w:szCs w:val="24"/>
        </w:rPr>
        <w:t>Сумарний коефіцієнт гармонічних спотворень напруги електропостачання, ураховуючи всі гармоніки до 40-ї включно, для мереж низької напруги має бути меншим чи рівним 8 %.</w:t>
      </w:r>
    </w:p>
    <w:p w14:paraId="6827EECC" w14:textId="77777777" w:rsidR="00956B06" w:rsidRDefault="00757E63">
      <w:pPr>
        <w:shd w:val="clear" w:color="auto" w:fill="FFFFFF"/>
        <w:ind w:firstLine="567"/>
        <w:jc w:val="both"/>
        <w:rPr>
          <w:sz w:val="24"/>
          <w:szCs w:val="24"/>
        </w:rPr>
      </w:pPr>
      <w:r>
        <w:rPr>
          <w:sz w:val="24"/>
          <w:szCs w:val="24"/>
        </w:rPr>
        <w:t>Показники якості електричної енергії для мереж середньої та високої напруги, методи випробування та інші характеристики якості електроенергії наведені у ДСТУ EN 50160:2014.</w:t>
      </w:r>
    </w:p>
    <w:p w14:paraId="5F00F906" w14:textId="77777777" w:rsidR="00956B06" w:rsidRDefault="00757E63">
      <w:pPr>
        <w:shd w:val="clear" w:color="auto" w:fill="FFFFFF"/>
        <w:ind w:firstLine="567"/>
        <w:jc w:val="both"/>
        <w:rPr>
          <w:sz w:val="24"/>
          <w:szCs w:val="24"/>
        </w:rPr>
      </w:pPr>
      <w:bookmarkStart w:id="1" w:name="_1mrcu09" w:colFirst="0" w:colLast="0"/>
      <w:bookmarkEnd w:id="1"/>
      <w:r>
        <w:rPr>
          <w:sz w:val="24"/>
          <w:szCs w:val="24"/>
        </w:rPr>
        <w:t>Учасник у складі пропозиції зобов’язаний надати сертифікат якості (відповідності) на електричну енергію, а у випадку, якщо електрична енергія не підлягає обов’язковій сертифікації, надати  у складі пропозиції чинний документ про таке, виданий такому учаснику від державного підприємства, що належить до сфери управління Міністерства розвитку економіки, торгівлі  та сільського господарства України у такому випадку зазначений сертифікат учасником не надається.</w:t>
      </w:r>
    </w:p>
    <w:p w14:paraId="435E511E" w14:textId="77777777" w:rsidR="00956B06" w:rsidRDefault="00757E63">
      <w:pPr>
        <w:ind w:firstLine="425"/>
        <w:jc w:val="both"/>
        <w:rPr>
          <w:sz w:val="24"/>
          <w:szCs w:val="24"/>
        </w:rPr>
      </w:pPr>
      <w:r>
        <w:rPr>
          <w:sz w:val="24"/>
          <w:szCs w:val="24"/>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електричної енергії. Окрім цього, за вказаною довідкою учасники повинні надати опис планованих заходів захисту довкілля та навколишнього середовища, а також надати документальне підтвердження визнання уповноваженими державними органами, експертними організаціями або екологічними аудиторами  відповідності учасника вимогам екологічного законодавства. Учасник надає довідку від екологічного аудитора, що містить опис заходів, які впроваджує учасник. Для цього учасники у складі тендерної пропозиції повинні надати звіт або короткий звіт з екологічного аудиту учасника закупівлі, з позитивним висновком разом із відповідними сертифікатами від Міністерства екології та природних ресурсів України, що засвідчують кваліфікацію органу/особи, що здійснював екологічний аудит учасника.</w:t>
      </w:r>
    </w:p>
    <w:p w14:paraId="145AC1FE" w14:textId="77777777" w:rsidR="00956B06" w:rsidRDefault="00757E63">
      <w:pPr>
        <w:ind w:firstLine="426"/>
        <w:jc w:val="both"/>
        <w:rPr>
          <w:sz w:val="18"/>
          <w:szCs w:val="18"/>
        </w:rPr>
      </w:pPr>
      <w:r>
        <w:rPr>
          <w:sz w:val="24"/>
          <w:szCs w:val="24"/>
        </w:rPr>
        <w:t xml:space="preserve">Взаємовідносини, які виникають під час купівлі-продажу електричної енергії між </w:t>
      </w:r>
      <w:proofErr w:type="spellStart"/>
      <w:r>
        <w:rPr>
          <w:sz w:val="24"/>
          <w:szCs w:val="24"/>
        </w:rPr>
        <w:t>електропостачальником</w:t>
      </w:r>
      <w:proofErr w:type="spellEnd"/>
      <w:r>
        <w:rPr>
          <w:sz w:val="24"/>
          <w:szCs w:val="24"/>
        </w:rPr>
        <w:t xml:space="preserve"> та споживачем, а також їх взаємовідносини з іншими учасниками роздрібного ринку електричної енергії, у тому числі операторами системи розподілу (далі – ОСР), </w:t>
      </w:r>
      <w:r>
        <w:rPr>
          <w:sz w:val="24"/>
          <w:szCs w:val="24"/>
        </w:rPr>
        <w:lastRenderedPageBreak/>
        <w:t>регулюються </w:t>
      </w:r>
      <w:hyperlink r:id="rId10">
        <w:r>
          <w:rPr>
            <w:sz w:val="24"/>
            <w:szCs w:val="24"/>
          </w:rPr>
          <w:t>Правилами роздрібного ринку електричної енергії</w:t>
        </w:r>
      </w:hyperlink>
      <w:r>
        <w:rPr>
          <w:sz w:val="24"/>
          <w:szCs w:val="24"/>
        </w:rPr>
        <w:t>, затвердженими постановою НКРЕКП від 14.03.2018 № 312 (далі – ПРРЕЕ), та які набрали чинності 11 червня 2018 року.</w:t>
      </w:r>
    </w:p>
    <w:p w14:paraId="78D0FBCC" w14:textId="77777777" w:rsidR="00956B06" w:rsidRDefault="00757E63">
      <w:pPr>
        <w:shd w:val="clear" w:color="auto" w:fill="FFFFFF"/>
        <w:ind w:firstLine="567"/>
        <w:jc w:val="both"/>
        <w:rPr>
          <w:sz w:val="18"/>
          <w:szCs w:val="18"/>
        </w:rPr>
      </w:pPr>
      <w:r>
        <w:rPr>
          <w:sz w:val="24"/>
          <w:szCs w:val="24"/>
        </w:rPr>
        <w:t>Положеннями пункту 8.2.2 глави 8.2 розділу VІІІ ПРРЕЕ встановлено, що у разі надходження претензії/скарги споживача щодо якості електричної енергії ОСР розглядає її </w:t>
      </w:r>
      <w:r>
        <w:rPr>
          <w:sz w:val="24"/>
          <w:szCs w:val="24"/>
          <w:u w:val="single"/>
        </w:rPr>
        <w:t>протягом 15 днів</w:t>
      </w:r>
      <w:r>
        <w:rPr>
          <w:sz w:val="24"/>
          <w:szCs w:val="24"/>
        </w:rPr>
        <w:t> з дня отримання претензії/скарги, а у разі проведення вимірювань показників якості електричної енергії в точці розподілу електричної енергії – </w:t>
      </w:r>
      <w:r>
        <w:rPr>
          <w:sz w:val="24"/>
          <w:szCs w:val="24"/>
          <w:u w:val="single"/>
        </w:rPr>
        <w:t>протягом 30 днів</w:t>
      </w:r>
      <w:r>
        <w:rPr>
          <w:sz w:val="24"/>
          <w:szCs w:val="24"/>
        </w:rPr>
        <w:t>.</w:t>
      </w:r>
    </w:p>
    <w:p w14:paraId="0458A8BD" w14:textId="77777777" w:rsidR="00956B06" w:rsidRDefault="00757E63">
      <w:pPr>
        <w:shd w:val="clear" w:color="auto" w:fill="FFFFFF"/>
        <w:ind w:firstLine="567"/>
        <w:jc w:val="both"/>
        <w:rPr>
          <w:sz w:val="18"/>
          <w:szCs w:val="18"/>
        </w:rPr>
      </w:pPr>
      <w:r>
        <w:rPr>
          <w:sz w:val="24"/>
          <w:szCs w:val="24"/>
        </w:rPr>
        <w:t>Розгляд претензій та скарг споживачів щодо показників якості електричної енергії, вимірювання показників якості електричної енергії, претензій щодо відшкодування збитків, завданих внаслідок недотримання ОСР показників якості електропостачання, зокрема внаслідок недотримання показників якості електричної енергії та перерв в електропостачанні, здійснюється відповідно до вимог КСР.</w:t>
      </w:r>
    </w:p>
    <w:p w14:paraId="584E163A" w14:textId="77777777" w:rsidR="00956B06" w:rsidRDefault="00757E63">
      <w:pPr>
        <w:shd w:val="clear" w:color="auto" w:fill="FFFFFF"/>
        <w:ind w:firstLine="567"/>
        <w:jc w:val="both"/>
        <w:rPr>
          <w:sz w:val="24"/>
          <w:szCs w:val="24"/>
        </w:rPr>
      </w:pPr>
      <w:r>
        <w:rPr>
          <w:sz w:val="24"/>
          <w:szCs w:val="24"/>
        </w:rPr>
        <w:t xml:space="preserve">Порядок розгляду скарг/претензій споживачів щодо показників якості електричної енергії визначений у пунктах 13.2.2 – 13.2.12 глави 13.2 </w:t>
      </w:r>
      <w:proofErr w:type="spellStart"/>
      <w:r>
        <w:rPr>
          <w:sz w:val="24"/>
          <w:szCs w:val="24"/>
        </w:rPr>
        <w:t>роз</w:t>
      </w:r>
      <w:proofErr w:type="spellEnd"/>
      <w:r>
        <w:rPr>
          <w:sz w:val="24"/>
          <w:szCs w:val="24"/>
        </w:rPr>
        <w:t>ділуXІІI КСР.</w:t>
      </w:r>
    </w:p>
    <w:p w14:paraId="46B7986B" w14:textId="77777777" w:rsidR="00956B06" w:rsidRDefault="00757E63">
      <w:pPr>
        <w:shd w:val="clear" w:color="auto" w:fill="FFFFFF"/>
        <w:ind w:firstLine="567"/>
        <w:jc w:val="both"/>
        <w:rPr>
          <w:sz w:val="18"/>
          <w:szCs w:val="18"/>
        </w:rPr>
      </w:pPr>
      <w:r>
        <w:rPr>
          <w:sz w:val="24"/>
          <w:szCs w:val="24"/>
        </w:rPr>
        <w:t>Так, за результатами розгляду скарги (претензії) споживача щодо якості електричної енергії ОСР надає відповідь споживачу у письмовій формі, яка повинна містити інформацію щодо:</w:t>
      </w:r>
    </w:p>
    <w:p w14:paraId="0C5F298D" w14:textId="77777777" w:rsidR="00956B06" w:rsidRDefault="00757E63">
      <w:pPr>
        <w:shd w:val="clear" w:color="auto" w:fill="FFFFFF"/>
        <w:ind w:firstLine="567"/>
        <w:jc w:val="both"/>
        <w:rPr>
          <w:sz w:val="18"/>
          <w:szCs w:val="18"/>
        </w:rPr>
      </w:pPr>
      <w:r>
        <w:rPr>
          <w:sz w:val="24"/>
          <w:szCs w:val="24"/>
        </w:rPr>
        <w:t>1) у разі визнання скарги/звернення/претензії обґрунтованою:</w:t>
      </w:r>
    </w:p>
    <w:p w14:paraId="39C9B02F" w14:textId="77777777" w:rsidR="00956B06" w:rsidRDefault="00757E63">
      <w:pPr>
        <w:shd w:val="clear" w:color="auto" w:fill="FFFFFF"/>
        <w:ind w:firstLine="567"/>
        <w:jc w:val="both"/>
        <w:rPr>
          <w:sz w:val="18"/>
          <w:szCs w:val="18"/>
        </w:rPr>
      </w:pPr>
      <w:r>
        <w:rPr>
          <w:sz w:val="24"/>
          <w:szCs w:val="24"/>
        </w:rPr>
        <w:t>- причин недотримання показників якості електричної енергії;</w:t>
      </w:r>
    </w:p>
    <w:p w14:paraId="0978CA21" w14:textId="77777777" w:rsidR="00956B06" w:rsidRDefault="00757E63">
      <w:pPr>
        <w:shd w:val="clear" w:color="auto" w:fill="FFFFFF"/>
        <w:ind w:firstLine="567"/>
        <w:jc w:val="both"/>
        <w:rPr>
          <w:sz w:val="18"/>
          <w:szCs w:val="18"/>
        </w:rPr>
      </w:pPr>
      <w:r>
        <w:rPr>
          <w:sz w:val="24"/>
          <w:szCs w:val="24"/>
        </w:rPr>
        <w:t>- заходів та строків стосовно усунення ОСР причин недотримання показників якості електричної енергії або проведених робіт, якщо причини недотримання показників якості електричної енергії було усунуто під час розгляду скарги;</w:t>
      </w:r>
    </w:p>
    <w:p w14:paraId="79EEF94D" w14:textId="77777777" w:rsidR="00956B06" w:rsidRDefault="00757E63">
      <w:pPr>
        <w:shd w:val="clear" w:color="auto" w:fill="FFFFFF"/>
        <w:ind w:firstLine="567"/>
        <w:jc w:val="both"/>
        <w:rPr>
          <w:sz w:val="18"/>
          <w:szCs w:val="18"/>
        </w:rPr>
      </w:pPr>
      <w:r>
        <w:rPr>
          <w:sz w:val="24"/>
          <w:szCs w:val="24"/>
        </w:rPr>
        <w:t>- результатів вимірювання параметрів якості електричної енергії у разі його проведення;</w:t>
      </w:r>
    </w:p>
    <w:p w14:paraId="5FDEEA58" w14:textId="77777777" w:rsidR="00956B06" w:rsidRDefault="00757E63">
      <w:pPr>
        <w:shd w:val="clear" w:color="auto" w:fill="FFFFFF"/>
        <w:ind w:firstLine="567"/>
        <w:jc w:val="both"/>
        <w:rPr>
          <w:sz w:val="18"/>
          <w:szCs w:val="18"/>
        </w:rPr>
      </w:pPr>
      <w:r>
        <w:rPr>
          <w:sz w:val="24"/>
          <w:szCs w:val="24"/>
        </w:rPr>
        <w:t> 2) у разі визнання скарги/звернення/претензії такою, що не підлягає задоволенню:</w:t>
      </w:r>
    </w:p>
    <w:p w14:paraId="05D1170D" w14:textId="77777777" w:rsidR="00956B06" w:rsidRDefault="00757E63">
      <w:pPr>
        <w:shd w:val="clear" w:color="auto" w:fill="FFFFFF"/>
        <w:ind w:firstLine="567"/>
        <w:jc w:val="both"/>
        <w:rPr>
          <w:sz w:val="18"/>
          <w:szCs w:val="18"/>
        </w:rPr>
      </w:pPr>
      <w:r>
        <w:rPr>
          <w:sz w:val="24"/>
          <w:szCs w:val="24"/>
        </w:rPr>
        <w:t>- документів, що підтверджують порушення споживачем вимог КСР або нормативно-технічних документів, внаслідок чого параметри якості електричної енергії в точці розподілу споживача не відповідають показникам, визначеним КСР;</w:t>
      </w:r>
    </w:p>
    <w:p w14:paraId="416E0279" w14:textId="77777777" w:rsidR="00956B06" w:rsidRDefault="00757E63">
      <w:pPr>
        <w:shd w:val="clear" w:color="auto" w:fill="FFFFFF"/>
        <w:ind w:firstLine="567"/>
        <w:jc w:val="both"/>
        <w:rPr>
          <w:sz w:val="18"/>
          <w:szCs w:val="18"/>
        </w:rPr>
      </w:pPr>
      <w:r>
        <w:rPr>
          <w:sz w:val="24"/>
          <w:szCs w:val="24"/>
        </w:rPr>
        <w:t>- результатів вимірювання параметрів якості електричної енергії, що підтверджують дотримання ОСР нормативних показників якості електричної енергії.</w:t>
      </w:r>
    </w:p>
    <w:p w14:paraId="3461B100" w14:textId="77777777" w:rsidR="00956B06" w:rsidRDefault="00757E63">
      <w:pPr>
        <w:shd w:val="clear" w:color="auto" w:fill="FFFFFF"/>
        <w:ind w:firstLine="567"/>
        <w:jc w:val="both"/>
        <w:rPr>
          <w:sz w:val="18"/>
          <w:szCs w:val="18"/>
        </w:rPr>
      </w:pPr>
      <w:r>
        <w:rPr>
          <w:sz w:val="24"/>
          <w:szCs w:val="24"/>
        </w:rPr>
        <w:t>ОСР може направити свого представника в узгоджений зі споживачем час для аналізу можливих причин недотримання показників якості електричної енергії та/або проведення необхідного вимірювання й подальшого надання відповіді споживачу. Представник ОСР у разі необхідності проводить вимірювання параметрів якості електричної енергії в точці розподілу протягом не менше 7 календарних днів за виключенням часу тривалості перерв в електропостачанні.</w:t>
      </w:r>
    </w:p>
    <w:p w14:paraId="22D02D0F" w14:textId="77777777" w:rsidR="00956B06" w:rsidRDefault="00757E63">
      <w:pPr>
        <w:shd w:val="clear" w:color="auto" w:fill="FFFFFF"/>
        <w:ind w:firstLine="567"/>
        <w:jc w:val="both"/>
        <w:rPr>
          <w:sz w:val="18"/>
          <w:szCs w:val="18"/>
        </w:rPr>
      </w:pPr>
      <w:r>
        <w:rPr>
          <w:sz w:val="24"/>
          <w:szCs w:val="24"/>
        </w:rPr>
        <w:t>ОСР може зменшити тривалість вимірювання або не проводити вимірювання у разі визнання факту недотримання показників якості електричної енергії в точці розподілу електричної енергії споживача.</w:t>
      </w:r>
    </w:p>
    <w:p w14:paraId="275D6D0C" w14:textId="77777777" w:rsidR="00956B06" w:rsidRDefault="00757E63">
      <w:pPr>
        <w:shd w:val="clear" w:color="auto" w:fill="FFFFFF"/>
        <w:ind w:firstLine="567"/>
        <w:jc w:val="both"/>
        <w:rPr>
          <w:sz w:val="18"/>
          <w:szCs w:val="18"/>
        </w:rPr>
      </w:pPr>
      <w:r>
        <w:rPr>
          <w:sz w:val="24"/>
          <w:szCs w:val="24"/>
        </w:rPr>
        <w:t>У разі неможливості встановлення вимірювального засобу в точці розподілу вимірювання проводиться якнайближче до точки розподілу. У разі проведення вимірювання на території споживача він має забезпечити відповідні умови для місця встановлення вимірювального засобу, які забезпечать захист цього засобу вимірювання від несанкціонованого втручання в його роботу протягом проведення вимірювання параметрів якості електричної енергії, а ОСР встановлює засіб вимірювання параметрів якості електричної енергії після забезпечення відповідних умов для встановлення даного засобу.</w:t>
      </w:r>
    </w:p>
    <w:p w14:paraId="462D1B9B" w14:textId="77777777" w:rsidR="00956B06" w:rsidRDefault="00757E63">
      <w:pPr>
        <w:shd w:val="clear" w:color="auto" w:fill="FFFFFF"/>
        <w:ind w:firstLine="567"/>
        <w:jc w:val="both"/>
        <w:rPr>
          <w:sz w:val="18"/>
          <w:szCs w:val="18"/>
        </w:rPr>
      </w:pPr>
      <w:r>
        <w:rPr>
          <w:sz w:val="24"/>
          <w:szCs w:val="24"/>
        </w:rPr>
        <w:t>Усі витрати, пов’язані із вимірюванням параметрів якості електричної енергії, покриває ОСР.</w:t>
      </w:r>
    </w:p>
    <w:p w14:paraId="4B88F6A1" w14:textId="77777777" w:rsidR="00956B06" w:rsidRDefault="00757E63">
      <w:pPr>
        <w:shd w:val="clear" w:color="auto" w:fill="FFFFFF"/>
        <w:ind w:firstLine="567"/>
        <w:jc w:val="both"/>
        <w:rPr>
          <w:sz w:val="18"/>
          <w:szCs w:val="18"/>
        </w:rPr>
      </w:pPr>
      <w:r>
        <w:rPr>
          <w:sz w:val="24"/>
          <w:szCs w:val="24"/>
        </w:rPr>
        <w:t>Споживач за письмовою згодою ОСР має право сам організувати проведення таких вимірювань, при цьому проводити вимірювання може організація, яка має відповідні повноваження або дозволи. Дані, отримані за допомогою таких засобів, є доказом при розгляді скарги/звернення/претензії щодо показників якості електричної енергії. ОСР повинен відшкодувати витрати споживача на організацію проведення вимірювань у разі підтвердження факту недотримання показників якості електричної енергії.</w:t>
      </w:r>
    </w:p>
    <w:p w14:paraId="606A58DA" w14:textId="77777777" w:rsidR="00956B06" w:rsidRDefault="00757E63">
      <w:pPr>
        <w:shd w:val="clear" w:color="auto" w:fill="FFFFFF"/>
        <w:ind w:firstLine="567"/>
        <w:jc w:val="both"/>
        <w:rPr>
          <w:sz w:val="18"/>
          <w:szCs w:val="18"/>
        </w:rPr>
      </w:pPr>
      <w:r>
        <w:rPr>
          <w:sz w:val="24"/>
          <w:szCs w:val="24"/>
        </w:rPr>
        <w:t xml:space="preserve">У разі встановлення споживачу електронного лічильника з функцією вимірювання параметрів відхилення напруги, що здійснюється відповідно до вимог розділу VI КСР, ОСР за згодою споживача використовує результати таких вимірювань при розгляді </w:t>
      </w:r>
      <w:r>
        <w:rPr>
          <w:sz w:val="24"/>
          <w:szCs w:val="24"/>
        </w:rPr>
        <w:lastRenderedPageBreak/>
        <w:t>скарги/звернення/претензії щодо показників якості електричної енергії. При цьому вимірювання параметрів якості електричної енергії іншими засобами не проводиться.</w:t>
      </w:r>
    </w:p>
    <w:p w14:paraId="6ADF7F48" w14:textId="77777777" w:rsidR="00956B06" w:rsidRDefault="00757E63">
      <w:pPr>
        <w:shd w:val="clear" w:color="auto" w:fill="FFFFFF"/>
        <w:ind w:firstLine="567"/>
        <w:jc w:val="both"/>
        <w:rPr>
          <w:sz w:val="18"/>
          <w:szCs w:val="18"/>
        </w:rPr>
      </w:pPr>
      <w:r>
        <w:rPr>
          <w:sz w:val="24"/>
          <w:szCs w:val="24"/>
        </w:rPr>
        <w:t>ОСР зобов’язаний усунути причини недотримання показників якості електричної енергії протягом 30 днів у разі можливості їх усунення оперативними діями персоналу ОСР або 180 днів у разі необхідності проведення будівельних робіт або заміни елементів мережі.</w:t>
      </w:r>
    </w:p>
    <w:p w14:paraId="1B22D010" w14:textId="77777777" w:rsidR="00956B06" w:rsidRDefault="00757E63">
      <w:pPr>
        <w:shd w:val="clear" w:color="auto" w:fill="FFFFFF"/>
        <w:ind w:firstLine="567"/>
        <w:jc w:val="both"/>
        <w:rPr>
          <w:sz w:val="18"/>
          <w:szCs w:val="18"/>
        </w:rPr>
      </w:pPr>
      <w:r>
        <w:rPr>
          <w:sz w:val="24"/>
          <w:szCs w:val="24"/>
        </w:rPr>
        <w:t>Перебіг строку усунення причин недотримання показників якості електричної енергії розпочинається з дня, наступного за днем, коли ОСР став відомий факт недотримання показників якості електричної енергії за результатами проведення вимірювання або з дня, наступного за днем отримання скарги/звернення/претензії споживача, якщо ОСР уже були відомі причини недотримання показників якості електричної енергії.</w:t>
      </w:r>
    </w:p>
    <w:p w14:paraId="2194C6AA" w14:textId="77777777" w:rsidR="00956B06" w:rsidRDefault="00757E63">
      <w:pPr>
        <w:shd w:val="clear" w:color="auto" w:fill="FFFFFF"/>
        <w:ind w:firstLine="567"/>
        <w:jc w:val="both"/>
        <w:rPr>
          <w:sz w:val="18"/>
          <w:szCs w:val="18"/>
        </w:rPr>
      </w:pPr>
      <w:r>
        <w:rPr>
          <w:sz w:val="24"/>
          <w:szCs w:val="24"/>
        </w:rPr>
        <w:t>ОСР після усунення причини недотримання показників якості електричної енергії письмово повідомляє споживача про проведені роботи.</w:t>
      </w:r>
    </w:p>
    <w:p w14:paraId="63961ADB" w14:textId="77777777" w:rsidR="00956B06" w:rsidRDefault="00757E63">
      <w:pPr>
        <w:shd w:val="clear" w:color="auto" w:fill="FFFFFF"/>
        <w:ind w:firstLine="567"/>
        <w:jc w:val="both"/>
        <w:rPr>
          <w:sz w:val="18"/>
          <w:szCs w:val="18"/>
        </w:rPr>
      </w:pPr>
      <w:r>
        <w:rPr>
          <w:sz w:val="24"/>
          <w:szCs w:val="24"/>
        </w:rPr>
        <w:t>У разі незгоди з результатами розгляду скарги/звернення/претензії щодо показників якості електричної енергії споживач може звернутися до НКРЕКП.</w:t>
      </w:r>
    </w:p>
    <w:p w14:paraId="10913F1E" w14:textId="77777777" w:rsidR="00956B06" w:rsidRDefault="00757E63">
      <w:pPr>
        <w:shd w:val="clear" w:color="auto" w:fill="FFFFFF"/>
        <w:ind w:firstLine="567"/>
        <w:jc w:val="both"/>
        <w:rPr>
          <w:sz w:val="18"/>
          <w:szCs w:val="18"/>
        </w:rPr>
      </w:pPr>
      <w:r>
        <w:rPr>
          <w:sz w:val="24"/>
          <w:szCs w:val="24"/>
        </w:rPr>
        <w:t xml:space="preserve">Разом з тим, відповідно до підпункту 2 пункту 4 Положення про Державну інспекцію енергетичного нагляду України, затвердженого постановою Кабінету Міністрів України від 14.02.2018 № 77, відповідно до покладених на Державну інспекцію енергетичного нагляду України (далі – </w:t>
      </w:r>
      <w:proofErr w:type="spellStart"/>
      <w:r>
        <w:rPr>
          <w:sz w:val="24"/>
          <w:szCs w:val="24"/>
        </w:rPr>
        <w:t>Держенергонагляд</w:t>
      </w:r>
      <w:proofErr w:type="spellEnd"/>
      <w:r>
        <w:rPr>
          <w:sz w:val="24"/>
          <w:szCs w:val="24"/>
        </w:rPr>
        <w:t>), здійснює державний енергетичний нагляд, зокрема, за електричними установками і мережами учасників ринку (крім споживачів);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а саме, за забезпеченням надійного та безпечного постачання електричної енергії споживачам.</w:t>
      </w:r>
    </w:p>
    <w:p w14:paraId="2F2F2988" w14:textId="77777777" w:rsidR="00956B06" w:rsidRDefault="00757E63">
      <w:pPr>
        <w:shd w:val="clear" w:color="auto" w:fill="FFFFFF"/>
        <w:ind w:firstLine="567"/>
        <w:jc w:val="both"/>
        <w:rPr>
          <w:sz w:val="24"/>
          <w:szCs w:val="24"/>
        </w:rPr>
      </w:pPr>
      <w:r>
        <w:rPr>
          <w:sz w:val="24"/>
          <w:szCs w:val="24"/>
        </w:rPr>
        <w:t xml:space="preserve">Тому з питань технічного стану електричних установок і мереж споживачі можуть звертатися до </w:t>
      </w:r>
      <w:proofErr w:type="spellStart"/>
      <w:r>
        <w:rPr>
          <w:sz w:val="24"/>
          <w:szCs w:val="24"/>
        </w:rPr>
        <w:t>Держенергонагляду</w:t>
      </w:r>
      <w:proofErr w:type="spellEnd"/>
      <w:r>
        <w:rPr>
          <w:sz w:val="24"/>
          <w:szCs w:val="24"/>
        </w:rPr>
        <w:t xml:space="preserve"> для розгляду та вжиття відповідних заходів у межах його компетенції.</w:t>
      </w:r>
    </w:p>
    <w:p w14:paraId="3F5912C2" w14:textId="77777777" w:rsidR="00956B06" w:rsidRDefault="00757E63">
      <w:pPr>
        <w:shd w:val="clear" w:color="auto" w:fill="FFFFFF"/>
        <w:ind w:firstLine="567"/>
        <w:jc w:val="both"/>
        <w:rPr>
          <w:sz w:val="24"/>
          <w:szCs w:val="24"/>
        </w:rPr>
      </w:pPr>
      <w:r>
        <w:rPr>
          <w:sz w:val="24"/>
          <w:szCs w:val="24"/>
        </w:rPr>
        <w:t>За інформацією із офіційного веб-сайту НКРЕКП.</w:t>
      </w:r>
    </w:p>
    <w:p w14:paraId="573179D6" w14:textId="77777777" w:rsidR="00956B06" w:rsidRDefault="00757E63">
      <w:pPr>
        <w:shd w:val="clear" w:color="auto" w:fill="FFFFFF"/>
        <w:ind w:firstLine="567"/>
        <w:jc w:val="both"/>
        <w:rPr>
          <w:sz w:val="24"/>
          <w:szCs w:val="24"/>
        </w:rPr>
      </w:pPr>
      <w:r>
        <w:rPr>
          <w:sz w:val="24"/>
          <w:szCs w:val="24"/>
        </w:rPr>
        <w:t>Закупівля електричної енергії як товару повинна відповідати листам інформативного характеру МЕРТУ № 3304-06/40489-07«Щодо закупівель електричної енергії та послуг з постачання електричної енергії» від 09.11.2017 року та № 3304-04/39642-06 «Щодо закупівель електричної енергії та послуг з постачання електричної енергії» від 10.09.2018 року.</w:t>
      </w:r>
    </w:p>
    <w:p w14:paraId="201BED06" w14:textId="77777777" w:rsidR="00956B06" w:rsidRDefault="00757E63">
      <w:pPr>
        <w:ind w:firstLine="426"/>
        <w:jc w:val="both"/>
        <w:rPr>
          <w:sz w:val="24"/>
          <w:szCs w:val="24"/>
        </w:rPr>
      </w:pPr>
      <w:r>
        <w:rPr>
          <w:sz w:val="24"/>
          <w:szCs w:val="24"/>
        </w:rPr>
        <w:t>Приймання Товару за кількістю і якістю здійснюється представником замовника.</w:t>
      </w:r>
    </w:p>
    <w:p w14:paraId="6A60B055" w14:textId="77777777" w:rsidR="00956B06" w:rsidRDefault="00757E63">
      <w:pPr>
        <w:ind w:firstLine="567"/>
        <w:jc w:val="both"/>
        <w:rPr>
          <w:sz w:val="24"/>
          <w:szCs w:val="24"/>
        </w:rPr>
      </w:pPr>
      <w:r>
        <w:rPr>
          <w:sz w:val="24"/>
          <w:szCs w:val="24"/>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1A598CB7" w14:textId="77777777" w:rsidR="00956B06" w:rsidRDefault="00956B06">
      <w:pPr>
        <w:pBdr>
          <w:top w:val="nil"/>
          <w:left w:val="nil"/>
          <w:bottom w:val="nil"/>
          <w:right w:val="nil"/>
          <w:between w:val="nil"/>
        </w:pBdr>
        <w:tabs>
          <w:tab w:val="left" w:pos="-3179"/>
        </w:tabs>
        <w:ind w:left="284"/>
        <w:jc w:val="center"/>
        <w:rPr>
          <w:b/>
          <w:sz w:val="24"/>
          <w:szCs w:val="24"/>
        </w:rPr>
      </w:pPr>
    </w:p>
    <w:p w14:paraId="7878082B" w14:textId="77777777" w:rsidR="00956B06" w:rsidRDefault="00757E63">
      <w:pPr>
        <w:pBdr>
          <w:top w:val="nil"/>
          <w:left w:val="nil"/>
          <w:bottom w:val="nil"/>
          <w:right w:val="nil"/>
          <w:between w:val="nil"/>
        </w:pBdr>
        <w:spacing w:after="200" w:line="276" w:lineRule="auto"/>
        <w:ind w:hanging="360"/>
        <w:jc w:val="both"/>
        <w:rPr>
          <w:color w:val="000000"/>
          <w:sz w:val="22"/>
          <w:szCs w:val="22"/>
        </w:rPr>
      </w:pPr>
      <w:r>
        <w:rPr>
          <w:b/>
          <w:color w:val="000000"/>
          <w:sz w:val="22"/>
          <w:szCs w:val="22"/>
        </w:rPr>
        <w:t xml:space="preserve">     </w:t>
      </w:r>
    </w:p>
    <w:p w14:paraId="2FDE4299" w14:textId="77777777" w:rsidR="00956B06" w:rsidRDefault="00757E63">
      <w:pPr>
        <w:pBdr>
          <w:top w:val="nil"/>
          <w:left w:val="nil"/>
          <w:bottom w:val="nil"/>
          <w:right w:val="nil"/>
          <w:between w:val="nil"/>
        </w:pBdr>
        <w:spacing w:after="200" w:line="276" w:lineRule="auto"/>
        <w:jc w:val="both"/>
        <w:rPr>
          <w:rFonts w:ascii="Calibri" w:eastAsia="Calibri" w:hAnsi="Calibri" w:cs="Calibri"/>
          <w:color w:val="000000"/>
          <w:sz w:val="24"/>
          <w:szCs w:val="24"/>
        </w:rPr>
      </w:pPr>
      <w:r>
        <w:rPr>
          <w:b/>
          <w:color w:val="000000"/>
          <w:sz w:val="24"/>
          <w:szCs w:val="24"/>
        </w:rPr>
        <w:t xml:space="preserve">  Ми (Я), _________________ у разі отримання повідомлення про намір укласти договір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Pr>
          <w:color w:val="000000"/>
          <w:sz w:val="24"/>
          <w:szCs w:val="24"/>
        </w:rPr>
        <w:t>.</w:t>
      </w:r>
    </w:p>
    <w:p w14:paraId="7CADAD7D" w14:textId="77777777" w:rsidR="00956B06" w:rsidRDefault="00757E63">
      <w:pPr>
        <w:pBdr>
          <w:top w:val="nil"/>
          <w:left w:val="nil"/>
          <w:bottom w:val="nil"/>
          <w:right w:val="nil"/>
          <w:between w:val="nil"/>
        </w:pBdr>
        <w:spacing w:after="200" w:line="276" w:lineRule="auto"/>
        <w:ind w:hanging="360"/>
        <w:jc w:val="both"/>
        <w:rPr>
          <w:color w:val="000000"/>
          <w:sz w:val="24"/>
          <w:szCs w:val="24"/>
        </w:rPr>
      </w:pPr>
      <w:r>
        <w:rPr>
          <w:b/>
          <w:color w:val="000000"/>
          <w:sz w:val="24"/>
          <w:szCs w:val="24"/>
        </w:rPr>
        <w:t xml:space="preserve">                 Дата: _____________                                         ________________ (підпис) </w:t>
      </w:r>
    </w:p>
    <w:p w14:paraId="2DE5804F" w14:textId="77777777" w:rsidR="00956B06" w:rsidRDefault="00757E63">
      <w:pPr>
        <w:pBdr>
          <w:top w:val="nil"/>
          <w:left w:val="nil"/>
          <w:bottom w:val="nil"/>
          <w:right w:val="nil"/>
          <w:between w:val="nil"/>
        </w:pBdr>
        <w:spacing w:after="200" w:line="276" w:lineRule="auto"/>
        <w:ind w:hanging="360"/>
        <w:jc w:val="center"/>
        <w:rPr>
          <w:color w:val="000000"/>
          <w:sz w:val="24"/>
          <w:szCs w:val="24"/>
        </w:rPr>
      </w:pPr>
      <w:r>
        <w:rPr>
          <w:color w:val="000000"/>
          <w:sz w:val="24"/>
          <w:szCs w:val="24"/>
        </w:rPr>
        <w:t>М.П.</w:t>
      </w:r>
    </w:p>
    <w:p w14:paraId="58781FC1" w14:textId="77777777" w:rsidR="00956B06" w:rsidRDefault="00956B06">
      <w:pPr>
        <w:pBdr>
          <w:top w:val="nil"/>
          <w:left w:val="nil"/>
          <w:bottom w:val="nil"/>
          <w:right w:val="nil"/>
          <w:between w:val="nil"/>
        </w:pBdr>
        <w:spacing w:after="200" w:line="276" w:lineRule="auto"/>
        <w:ind w:hanging="360"/>
        <w:jc w:val="center"/>
        <w:rPr>
          <w:sz w:val="22"/>
          <w:szCs w:val="22"/>
        </w:rPr>
      </w:pPr>
    </w:p>
    <w:p w14:paraId="13670CC7" w14:textId="77777777" w:rsidR="00956B06" w:rsidRDefault="00956B06">
      <w:pPr>
        <w:pBdr>
          <w:top w:val="nil"/>
          <w:left w:val="nil"/>
          <w:bottom w:val="nil"/>
          <w:right w:val="nil"/>
          <w:between w:val="nil"/>
        </w:pBdr>
        <w:spacing w:after="200" w:line="276" w:lineRule="auto"/>
        <w:ind w:hanging="360"/>
        <w:jc w:val="center"/>
        <w:rPr>
          <w:sz w:val="22"/>
          <w:szCs w:val="22"/>
        </w:rPr>
      </w:pPr>
    </w:p>
    <w:p w14:paraId="7361E3B7" w14:textId="77777777" w:rsidR="00956B06" w:rsidRDefault="00956B06">
      <w:pPr>
        <w:pBdr>
          <w:top w:val="nil"/>
          <w:left w:val="nil"/>
          <w:bottom w:val="nil"/>
          <w:right w:val="nil"/>
          <w:between w:val="nil"/>
        </w:pBdr>
        <w:spacing w:after="200" w:line="276" w:lineRule="auto"/>
        <w:ind w:hanging="360"/>
        <w:jc w:val="center"/>
        <w:rPr>
          <w:sz w:val="22"/>
          <w:szCs w:val="22"/>
        </w:rPr>
      </w:pPr>
      <w:bookmarkStart w:id="2" w:name="_GoBack"/>
      <w:bookmarkEnd w:id="2"/>
    </w:p>
    <w:sectPr w:rsidR="00956B06">
      <w:footerReference w:type="default" r:id="rId11"/>
      <w:headerReference w:type="first" r:id="rId12"/>
      <w:pgSz w:w="11906" w:h="16838"/>
      <w:pgMar w:top="624" w:right="567" w:bottom="53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2A5EC" w14:textId="77777777" w:rsidR="00EA337D" w:rsidRDefault="00EA337D">
      <w:r>
        <w:separator/>
      </w:r>
    </w:p>
  </w:endnote>
  <w:endnote w:type="continuationSeparator" w:id="0">
    <w:p w14:paraId="69A8EEFC" w14:textId="77777777" w:rsidR="00EA337D" w:rsidRDefault="00EA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4F73" w14:textId="1B6B3FA0" w:rsidR="001320F3" w:rsidRDefault="001320F3">
    <w:pPr>
      <w:pBdr>
        <w:top w:val="nil"/>
        <w:left w:val="nil"/>
        <w:bottom w:val="nil"/>
        <w:right w:val="nil"/>
        <w:between w:val="nil"/>
      </w:pBdr>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B4164">
      <w:rPr>
        <w:noProof/>
        <w:color w:val="000000"/>
        <w:sz w:val="24"/>
        <w:szCs w:val="24"/>
      </w:rPr>
      <w:t>4</w:t>
    </w:r>
    <w:r>
      <w:rPr>
        <w:color w:val="000000"/>
        <w:sz w:val="24"/>
        <w:szCs w:val="24"/>
      </w:rPr>
      <w:fldChar w:fldCharType="end"/>
    </w:r>
  </w:p>
  <w:p w14:paraId="3AE1B1D7" w14:textId="77777777" w:rsidR="001320F3" w:rsidRDefault="001320F3">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E8012" w14:textId="77777777" w:rsidR="00EA337D" w:rsidRDefault="00EA337D">
      <w:r>
        <w:separator/>
      </w:r>
    </w:p>
  </w:footnote>
  <w:footnote w:type="continuationSeparator" w:id="0">
    <w:p w14:paraId="7318715D" w14:textId="77777777" w:rsidR="00EA337D" w:rsidRDefault="00EA3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BF82C" w14:textId="77777777" w:rsidR="001320F3" w:rsidRDefault="001320F3">
    <w:pPr>
      <w:pBdr>
        <w:top w:val="nil"/>
        <w:left w:val="nil"/>
        <w:bottom w:val="nil"/>
        <w:right w:val="nil"/>
        <w:between w:val="nil"/>
      </w:pBdr>
      <w:spacing w:after="200" w:line="276" w:lineRule="auto"/>
      <w:rPr>
        <w:rFonts w:ascii="Calibri" w:eastAsia="Calibri" w:hAnsi="Calibri" w:cs="Calibri"/>
        <w:color w:val="000000"/>
        <w:sz w:val="2"/>
        <w:szCs w:val="2"/>
      </w:rPr>
    </w:pPr>
    <w:r>
      <w:rPr>
        <w:rFonts w:ascii="Calibri" w:eastAsia="Calibri" w:hAnsi="Calibri" w:cs="Calibri"/>
        <w:noProof/>
        <w:color w:val="000000"/>
        <w:sz w:val="22"/>
        <w:szCs w:val="22"/>
        <w:lang w:val="ru-RU"/>
      </w:rPr>
      <mc:AlternateContent>
        <mc:Choice Requires="wpg">
          <w:drawing>
            <wp:anchor distT="0" distB="0" distL="0" distR="0" simplePos="0" relativeHeight="251658240" behindDoc="0" locked="0" layoutInCell="1" hidden="0" allowOverlap="1" wp14:anchorId="1DF1AD9D" wp14:editId="5B9E20EC">
              <wp:simplePos x="0" y="0"/>
              <wp:positionH relativeFrom="page">
                <wp:posOffset>6361113</wp:posOffset>
              </wp:positionH>
              <wp:positionV relativeFrom="page">
                <wp:posOffset>322898</wp:posOffset>
              </wp:positionV>
              <wp:extent cx="887095" cy="125095"/>
              <wp:effectExtent l="0" t="0" r="0" b="0"/>
              <wp:wrapSquare wrapText="bothSides" distT="0" distB="0" distL="0" distR="0"/>
              <wp:docPr id="1" name="Прямоугольник 1"/>
              <wp:cNvGraphicFramePr/>
              <a:graphic xmlns:a="http://schemas.openxmlformats.org/drawingml/2006/main">
                <a:graphicData uri="http://schemas.microsoft.com/office/word/2010/wordprocessingShape">
                  <wps:wsp>
                    <wps:cNvSpPr/>
                    <wps:spPr>
                      <a:xfrm>
                        <a:off x="4907215" y="3722215"/>
                        <a:ext cx="877570" cy="115570"/>
                      </a:xfrm>
                      <a:prstGeom prst="rect">
                        <a:avLst/>
                      </a:prstGeom>
                      <a:noFill/>
                      <a:ln>
                        <a:noFill/>
                      </a:ln>
                    </wps:spPr>
                    <wps:txbx>
                      <w:txbxContent>
                        <w:p w14:paraId="5C61E31C" w14:textId="77777777" w:rsidR="001320F3" w:rsidRDefault="001320F3">
                          <w:pPr>
                            <w:spacing w:after="200" w:line="275" w:lineRule="auto"/>
                            <w:textDirection w:val="btLr"/>
                          </w:pPr>
                        </w:p>
                        <w:p w14:paraId="3252A029" w14:textId="77777777" w:rsidR="001320F3" w:rsidRDefault="001320F3">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page">
                <wp:posOffset>6361113</wp:posOffset>
              </wp:positionH>
              <wp:positionV relativeFrom="page">
                <wp:posOffset>322898</wp:posOffset>
              </wp:positionV>
              <wp:extent cx="887095" cy="12509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87095" cy="12509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7CD"/>
    <w:multiLevelType w:val="multilevel"/>
    <w:tmpl w:val="AB2E7CA6"/>
    <w:lvl w:ilvl="0">
      <w:start w:val="1"/>
      <w:numFmt w:val="upperRoman"/>
      <w:lvlText w:val="%1."/>
      <w:lvlJc w:val="left"/>
      <w:pPr>
        <w:ind w:left="0" w:firstLine="0"/>
      </w:pPr>
      <w:rPr>
        <w:b/>
        <w:i w:val="0"/>
        <w:sz w:val="24"/>
        <w:szCs w:val="24"/>
      </w:rPr>
    </w:lvl>
    <w:lvl w:ilvl="1">
      <w:start w:val="1"/>
      <w:numFmt w:val="decimal"/>
      <w:lvlText w:val="%2."/>
      <w:lvlJc w:val="left"/>
      <w:pPr>
        <w:ind w:left="0" w:firstLine="0"/>
      </w:pPr>
      <w:rPr>
        <w:b/>
        <w:i w:val="0"/>
        <w:sz w:val="24"/>
        <w:szCs w:val="24"/>
      </w:rPr>
    </w:lvl>
    <w:lvl w:ilvl="2">
      <w:start w:val="1"/>
      <w:numFmt w:val="decimal"/>
      <w:lvlText w:val="%2.%3."/>
      <w:lvlJc w:val="left"/>
      <w:pPr>
        <w:ind w:left="737" w:hanging="737"/>
      </w:pPr>
      <w:rPr>
        <w:b/>
      </w:rPr>
    </w:lvl>
    <w:lvl w:ilvl="3">
      <w:start w:val="1"/>
      <w:numFmt w:val="lowerLetter"/>
      <w:lvlText w:val="(%4)"/>
      <w:lvlJc w:val="left"/>
      <w:pPr>
        <w:ind w:left="1474" w:hanging="737"/>
      </w:pPr>
      <w:rPr>
        <w:b/>
      </w:rPr>
    </w:lvl>
    <w:lvl w:ilvl="4">
      <w:start w:val="1"/>
      <w:numFmt w:val="lowerRoman"/>
      <w:lvlText w:val="%5"/>
      <w:lvlJc w:val="left"/>
      <w:pPr>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DC53E94"/>
    <w:multiLevelType w:val="multilevel"/>
    <w:tmpl w:val="086A3BAC"/>
    <w:lvl w:ilvl="0">
      <w:start w:val="1"/>
      <w:numFmt w:val="decimal"/>
      <w:lvlText w:val="%1."/>
      <w:lvlJc w:val="left"/>
      <w:pPr>
        <w:ind w:left="1230" w:hanging="1230"/>
      </w:pPr>
      <w:rPr>
        <w:vertAlign w:val="baseline"/>
      </w:rPr>
    </w:lvl>
    <w:lvl w:ilvl="1">
      <w:start w:val="1"/>
      <w:numFmt w:val="decimal"/>
      <w:lvlText w:val="%1.%2."/>
      <w:lvlJc w:val="left"/>
      <w:pPr>
        <w:ind w:left="2223" w:hanging="1230"/>
      </w:pPr>
      <w:rPr>
        <w:vertAlign w:val="baseline"/>
      </w:rPr>
    </w:lvl>
    <w:lvl w:ilvl="2">
      <w:start w:val="1"/>
      <w:numFmt w:val="decimal"/>
      <w:lvlText w:val="%1.%2.%3."/>
      <w:lvlJc w:val="left"/>
      <w:pPr>
        <w:ind w:left="2890" w:hanging="1230"/>
      </w:pPr>
      <w:rPr>
        <w:vertAlign w:val="baseline"/>
      </w:rPr>
    </w:lvl>
    <w:lvl w:ilvl="3">
      <w:start w:val="1"/>
      <w:numFmt w:val="decimal"/>
      <w:lvlText w:val="%1.%2.%3.%4."/>
      <w:lvlJc w:val="left"/>
      <w:pPr>
        <w:ind w:left="3720" w:hanging="1230"/>
      </w:pPr>
      <w:rPr>
        <w:vertAlign w:val="baseline"/>
      </w:rPr>
    </w:lvl>
    <w:lvl w:ilvl="4">
      <w:start w:val="1"/>
      <w:numFmt w:val="decimal"/>
      <w:lvlText w:val="%1.%2.%3.%4.%5."/>
      <w:lvlJc w:val="left"/>
      <w:pPr>
        <w:ind w:left="4550" w:hanging="1230"/>
      </w:pPr>
      <w:rPr>
        <w:vertAlign w:val="baseline"/>
      </w:rPr>
    </w:lvl>
    <w:lvl w:ilvl="5">
      <w:start w:val="1"/>
      <w:numFmt w:val="decimal"/>
      <w:lvlText w:val="%1.%2.%3.%4.%5.%6."/>
      <w:lvlJc w:val="left"/>
      <w:pPr>
        <w:ind w:left="5380" w:hanging="1230"/>
      </w:pPr>
      <w:rPr>
        <w:vertAlign w:val="baseline"/>
      </w:rPr>
    </w:lvl>
    <w:lvl w:ilvl="6">
      <w:start w:val="1"/>
      <w:numFmt w:val="decimal"/>
      <w:lvlText w:val="%1.%2.%3.%4.%5.%6.%7."/>
      <w:lvlJc w:val="left"/>
      <w:pPr>
        <w:ind w:left="6420" w:hanging="1440"/>
      </w:pPr>
      <w:rPr>
        <w:vertAlign w:val="baseline"/>
      </w:rPr>
    </w:lvl>
    <w:lvl w:ilvl="7">
      <w:start w:val="1"/>
      <w:numFmt w:val="decimal"/>
      <w:lvlText w:val="%1.%2.%3.%4.%5.%6.%7.%8."/>
      <w:lvlJc w:val="left"/>
      <w:pPr>
        <w:ind w:left="7250" w:hanging="1440"/>
      </w:pPr>
      <w:rPr>
        <w:vertAlign w:val="baseline"/>
      </w:rPr>
    </w:lvl>
    <w:lvl w:ilvl="8">
      <w:start w:val="1"/>
      <w:numFmt w:val="decimal"/>
      <w:lvlText w:val="%1.%2.%3.%4.%5.%6.%7.%8.%9."/>
      <w:lvlJc w:val="left"/>
      <w:pPr>
        <w:ind w:left="8440" w:hanging="1800"/>
      </w:pPr>
      <w:rPr>
        <w:vertAlign w:val="baseline"/>
      </w:rPr>
    </w:lvl>
  </w:abstractNum>
  <w:abstractNum w:abstractNumId="2">
    <w:nsid w:val="1E821DF3"/>
    <w:multiLevelType w:val="multilevel"/>
    <w:tmpl w:val="4A74C7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AE729E2"/>
    <w:multiLevelType w:val="multilevel"/>
    <w:tmpl w:val="1BAAA64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586C45"/>
    <w:multiLevelType w:val="multilevel"/>
    <w:tmpl w:val="D0EC9B46"/>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DF1066D"/>
    <w:multiLevelType w:val="multilevel"/>
    <w:tmpl w:val="8A86B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911013"/>
    <w:multiLevelType w:val="multilevel"/>
    <w:tmpl w:val="AC38750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1672ACF"/>
    <w:multiLevelType w:val="multilevel"/>
    <w:tmpl w:val="21120DD6"/>
    <w:lvl w:ilvl="0">
      <w:start w:val="1"/>
      <w:numFmt w:val="upperRoman"/>
      <w:lvlText w:val="%1."/>
      <w:lvlJc w:val="left"/>
      <w:pPr>
        <w:ind w:left="1418" w:firstLine="0"/>
      </w:pPr>
      <w:rPr>
        <w:b/>
        <w:i w:val="0"/>
        <w:sz w:val="24"/>
        <w:szCs w:val="24"/>
      </w:rPr>
    </w:lvl>
    <w:lvl w:ilvl="1">
      <w:start w:val="1"/>
      <w:numFmt w:val="decimal"/>
      <w:lvlText w:val="%2."/>
      <w:lvlJc w:val="left"/>
      <w:pPr>
        <w:ind w:left="0" w:firstLine="0"/>
      </w:pPr>
      <w:rPr>
        <w:b/>
        <w:i w:val="0"/>
        <w:color w:val="000000"/>
        <w:sz w:val="24"/>
        <w:szCs w:val="24"/>
      </w:rPr>
    </w:lvl>
    <w:lvl w:ilvl="2">
      <w:start w:val="1"/>
      <w:numFmt w:val="decimal"/>
      <w:lvlText w:val="%2.%3."/>
      <w:lvlJc w:val="left"/>
      <w:pPr>
        <w:ind w:left="737" w:hanging="737"/>
      </w:pPr>
      <w:rPr>
        <w:b w:val="0"/>
      </w:rPr>
    </w:lvl>
    <w:lvl w:ilvl="3">
      <w:start w:val="1"/>
      <w:numFmt w:val="lowerLetter"/>
      <w:lvlText w:val="(%4)"/>
      <w:lvlJc w:val="left"/>
      <w:pPr>
        <w:ind w:left="1474" w:hanging="737"/>
      </w:pPr>
      <w:rPr>
        <w:b/>
      </w:rPr>
    </w:lvl>
    <w:lvl w:ilvl="4">
      <w:start w:val="1"/>
      <w:numFmt w:val="lowerRoman"/>
      <w:lvlText w:val="%5"/>
      <w:lvlJc w:val="left"/>
      <w:pPr>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1CC1652"/>
    <w:multiLevelType w:val="multilevel"/>
    <w:tmpl w:val="F7CA8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0"/>
  </w:num>
  <w:num w:numId="4">
    <w:abstractNumId w:val="5"/>
  </w:num>
  <w:num w:numId="5">
    <w:abstractNumId w:val="6"/>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06"/>
    <w:rsid w:val="001241E7"/>
    <w:rsid w:val="001312F3"/>
    <w:rsid w:val="001320F3"/>
    <w:rsid w:val="00155B68"/>
    <w:rsid w:val="00187D2C"/>
    <w:rsid w:val="00195073"/>
    <w:rsid w:val="001D36D7"/>
    <w:rsid w:val="0025287A"/>
    <w:rsid w:val="002F17D7"/>
    <w:rsid w:val="00380D37"/>
    <w:rsid w:val="00493BA3"/>
    <w:rsid w:val="004A77B0"/>
    <w:rsid w:val="00596098"/>
    <w:rsid w:val="005A0CD8"/>
    <w:rsid w:val="00600A92"/>
    <w:rsid w:val="00604709"/>
    <w:rsid w:val="0061263D"/>
    <w:rsid w:val="0062526C"/>
    <w:rsid w:val="006402FA"/>
    <w:rsid w:val="006E01B5"/>
    <w:rsid w:val="007147F3"/>
    <w:rsid w:val="00757E63"/>
    <w:rsid w:val="008030FE"/>
    <w:rsid w:val="00825F18"/>
    <w:rsid w:val="008826F3"/>
    <w:rsid w:val="00956B06"/>
    <w:rsid w:val="009B3DB9"/>
    <w:rsid w:val="009B4164"/>
    <w:rsid w:val="009D6460"/>
    <w:rsid w:val="00A01AC2"/>
    <w:rsid w:val="00A561B9"/>
    <w:rsid w:val="00A962E4"/>
    <w:rsid w:val="00AB535C"/>
    <w:rsid w:val="00AC3ED8"/>
    <w:rsid w:val="00AD130E"/>
    <w:rsid w:val="00B106F8"/>
    <w:rsid w:val="00B1569C"/>
    <w:rsid w:val="00B54C21"/>
    <w:rsid w:val="00C06B15"/>
    <w:rsid w:val="00C33D86"/>
    <w:rsid w:val="00C55371"/>
    <w:rsid w:val="00C633F5"/>
    <w:rsid w:val="00CB5F0D"/>
    <w:rsid w:val="00CE1C2C"/>
    <w:rsid w:val="00D0120D"/>
    <w:rsid w:val="00D52448"/>
    <w:rsid w:val="00D777CE"/>
    <w:rsid w:val="00D87393"/>
    <w:rsid w:val="00DB38A6"/>
    <w:rsid w:val="00DC6A1B"/>
    <w:rsid w:val="00EA337D"/>
    <w:rsid w:val="00F0660F"/>
    <w:rsid w:val="00F7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9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92" w:type="dxa"/>
        <w:bottom w:w="0" w:type="dxa"/>
        <w:right w:w="108" w:type="dxa"/>
      </w:tblCellMar>
    </w:tblPr>
  </w:style>
  <w:style w:type="table" w:customStyle="1" w:styleId="af2">
    <w:basedOn w:val="TableNormal"/>
    <w:tblPr>
      <w:tblStyleRowBandSize w:val="1"/>
      <w:tblStyleColBandSize w:val="1"/>
      <w:tblCellMar>
        <w:top w:w="0" w:type="dxa"/>
        <w:left w:w="28" w:type="dxa"/>
        <w:bottom w:w="0" w:type="dxa"/>
        <w:right w:w="28"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28" w:type="dxa"/>
        <w:bottom w:w="0" w:type="dxa"/>
        <w:right w:w="28" w:type="dxa"/>
      </w:tblCellMar>
    </w:tblPr>
  </w:style>
  <w:style w:type="table" w:customStyle="1" w:styleId="af5">
    <w:basedOn w:val="TableNormal"/>
    <w:tblPr>
      <w:tblStyleRowBandSize w:val="1"/>
      <w:tblStyleColBandSize w:val="1"/>
      <w:tblCellMar>
        <w:top w:w="0" w:type="dxa"/>
        <w:left w:w="28" w:type="dxa"/>
        <w:bottom w:w="0" w:type="dxa"/>
        <w:right w:w="28" w:type="dxa"/>
      </w:tblCellMar>
    </w:tblPr>
  </w:style>
  <w:style w:type="paragraph" w:styleId="af6">
    <w:name w:val="Balloon Text"/>
    <w:basedOn w:val="a"/>
    <w:link w:val="af7"/>
    <w:uiPriority w:val="99"/>
    <w:semiHidden/>
    <w:unhideWhenUsed/>
    <w:rsid w:val="00757E63"/>
    <w:rPr>
      <w:rFonts w:ascii="Segoe UI" w:hAnsi="Segoe UI" w:cs="Segoe UI"/>
      <w:sz w:val="18"/>
      <w:szCs w:val="18"/>
    </w:rPr>
  </w:style>
  <w:style w:type="character" w:customStyle="1" w:styleId="af7">
    <w:name w:val="Текст выноски Знак"/>
    <w:basedOn w:val="a0"/>
    <w:link w:val="af6"/>
    <w:uiPriority w:val="99"/>
    <w:semiHidden/>
    <w:rsid w:val="00757E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9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92" w:type="dxa"/>
        <w:bottom w:w="0" w:type="dxa"/>
        <w:right w:w="108" w:type="dxa"/>
      </w:tblCellMar>
    </w:tblPr>
  </w:style>
  <w:style w:type="table" w:customStyle="1" w:styleId="af2">
    <w:basedOn w:val="TableNormal"/>
    <w:tblPr>
      <w:tblStyleRowBandSize w:val="1"/>
      <w:tblStyleColBandSize w:val="1"/>
      <w:tblCellMar>
        <w:top w:w="0" w:type="dxa"/>
        <w:left w:w="28" w:type="dxa"/>
        <w:bottom w:w="0" w:type="dxa"/>
        <w:right w:w="28"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28" w:type="dxa"/>
        <w:bottom w:w="0" w:type="dxa"/>
        <w:right w:w="28" w:type="dxa"/>
      </w:tblCellMar>
    </w:tblPr>
  </w:style>
  <w:style w:type="table" w:customStyle="1" w:styleId="af5">
    <w:basedOn w:val="TableNormal"/>
    <w:tblPr>
      <w:tblStyleRowBandSize w:val="1"/>
      <w:tblStyleColBandSize w:val="1"/>
      <w:tblCellMar>
        <w:top w:w="0" w:type="dxa"/>
        <w:left w:w="28" w:type="dxa"/>
        <w:bottom w:w="0" w:type="dxa"/>
        <w:right w:w="28" w:type="dxa"/>
      </w:tblCellMar>
    </w:tblPr>
  </w:style>
  <w:style w:type="paragraph" w:styleId="af6">
    <w:name w:val="Balloon Text"/>
    <w:basedOn w:val="a"/>
    <w:link w:val="af7"/>
    <w:uiPriority w:val="99"/>
    <w:semiHidden/>
    <w:unhideWhenUsed/>
    <w:rsid w:val="00757E63"/>
    <w:rPr>
      <w:rFonts w:ascii="Segoe UI" w:hAnsi="Segoe UI" w:cs="Segoe UI"/>
      <w:sz w:val="18"/>
      <w:szCs w:val="18"/>
    </w:rPr>
  </w:style>
  <w:style w:type="character" w:customStyle="1" w:styleId="af7">
    <w:name w:val="Текст выноски Знак"/>
    <w:basedOn w:val="a0"/>
    <w:link w:val="af6"/>
    <w:uiPriority w:val="99"/>
    <w:semiHidden/>
    <w:rsid w:val="00757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3.rada.gov.ua/laws/show/v0312874-18" TargetMode="External"/><Relationship Id="rId4" Type="http://schemas.microsoft.com/office/2007/relationships/stylesWithEffects" Target="stylesWithEffects.xml"/><Relationship Id="rId9" Type="http://schemas.openxmlformats.org/officeDocument/2006/relationships/hyperlink" Target="http://zakon3.rada.gov.ua/laws/show/v0310874-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607B2-40B4-477A-85FF-20CF581A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51</cp:revision>
  <cp:lastPrinted>2020-12-01T09:44:00Z</cp:lastPrinted>
  <dcterms:created xsi:type="dcterms:W3CDTF">2020-12-01T09:37:00Z</dcterms:created>
  <dcterms:modified xsi:type="dcterms:W3CDTF">2021-02-12T08:19:00Z</dcterms:modified>
</cp:coreProperties>
</file>