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BA2" w:rsidRPr="00936BA2" w:rsidRDefault="00936BA2" w:rsidP="00936BA2">
      <w:pPr>
        <w:spacing w:after="300" w:line="480" w:lineRule="atLeast"/>
        <w:outlineLvl w:val="0"/>
        <w:rPr>
          <w:rFonts w:ascii="inherit" w:eastAsia="Times New Roman" w:hAnsi="inherit" w:cs="Arial"/>
          <w:b/>
          <w:bCs/>
          <w:caps/>
          <w:smallCaps/>
          <w:kern w:val="36"/>
          <w:sz w:val="36"/>
          <w:szCs w:val="36"/>
          <w:lang w:eastAsia="uk-UA"/>
        </w:rPr>
      </w:pPr>
      <w:bookmarkStart w:id="0" w:name="_GoBack"/>
      <w:bookmarkEnd w:id="0"/>
      <w:r w:rsidRPr="00936BA2">
        <w:rPr>
          <w:rFonts w:ascii="inherit" w:eastAsia="Times New Roman" w:hAnsi="inherit" w:cs="Arial"/>
          <w:b/>
          <w:bCs/>
          <w:caps/>
          <w:smallCaps/>
          <w:kern w:val="36"/>
          <w:sz w:val="36"/>
          <w:szCs w:val="36"/>
          <w:lang w:eastAsia="uk-UA"/>
        </w:rPr>
        <w:t>ЗВІТ УПРАВЛІННЯ КУЛЬТУРИ ТА МИСТЕЦТВ ДНІПРОПЕТРОВСЬКОЇ МІСЬКОЇ РАДИ ЩОДО ВИКОРИСТАННЯ КОШТІВ ВІДПОВІДНО ДО БЮДЖЕТНИХ ПРОГРАМ, ФІНАНСУВАННЯ ЯКИХ ЗДІЙСНЮВАЛОСЬ У 2014 РОЦІ</w:t>
      </w:r>
    </w:p>
    <w:p w:rsidR="00936BA2" w:rsidRPr="00936BA2" w:rsidRDefault="00936BA2" w:rsidP="00936BA2">
      <w:pPr>
        <w:spacing w:line="0" w:lineRule="auto"/>
        <w:rPr>
          <w:rFonts w:ascii="Arial" w:eastAsia="Times New Roman" w:hAnsi="Arial" w:cs="Arial"/>
          <w:sz w:val="2"/>
          <w:szCs w:val="2"/>
          <w:lang w:eastAsia="uk-UA"/>
        </w:rPr>
      </w:pPr>
      <w:proofErr w:type="spellStart"/>
      <w:r w:rsidRPr="00936BA2">
        <w:rPr>
          <w:rFonts w:ascii="Helvetica" w:eastAsia="Times New Roman" w:hAnsi="Helvetica" w:cs="Arial"/>
          <w:sz w:val="16"/>
          <w:szCs w:val="16"/>
          <w:lang w:eastAsia="uk-UA"/>
        </w:rPr>
        <w:t>FacebookTwitter</w:t>
      </w:r>
      <w:proofErr w:type="spellEnd"/>
    </w:p>
    <w:p w:rsidR="00936BA2" w:rsidRPr="00936BA2" w:rsidRDefault="00936BA2" w:rsidP="00936BA2">
      <w:pPr>
        <w:spacing w:line="240" w:lineRule="auto"/>
        <w:rPr>
          <w:rFonts w:ascii="Arial" w:eastAsia="Times New Roman" w:hAnsi="Arial" w:cs="Arial"/>
          <w:sz w:val="21"/>
          <w:szCs w:val="21"/>
          <w:lang w:eastAsia="uk-UA"/>
        </w:rPr>
      </w:pPr>
      <w:r w:rsidRPr="00936BA2">
        <w:rPr>
          <w:rFonts w:ascii="Arial" w:eastAsia="Times New Roman" w:hAnsi="Arial" w:cs="Arial"/>
          <w:sz w:val="21"/>
          <w:szCs w:val="21"/>
          <w:lang w:eastAsia="uk-UA"/>
        </w:rPr>
        <w:br/>
        <w:t>У 2014 році видатки з міського бюджету у сфері культури та мистецтва здійснювалися в рамках виконання Комплексної програми розвитку галузі культури міста на 2011-2015 роки, затвердженою рішенням міської ради від 24.11.2010 року № 10/2 і склали:</w:t>
      </w:r>
      <w:r w:rsidRPr="00936BA2">
        <w:rPr>
          <w:rFonts w:ascii="Arial" w:eastAsia="Times New Roman" w:hAnsi="Arial" w:cs="Arial"/>
          <w:sz w:val="21"/>
          <w:szCs w:val="21"/>
          <w:lang w:eastAsia="uk-UA"/>
        </w:rPr>
        <w:br/>
        <w:t>-  за рахунок коштів загального фонду  - 112 547 676 грн.;</w:t>
      </w:r>
      <w:r w:rsidRPr="00936BA2">
        <w:rPr>
          <w:rFonts w:ascii="Arial" w:eastAsia="Times New Roman" w:hAnsi="Arial" w:cs="Arial"/>
          <w:sz w:val="21"/>
          <w:szCs w:val="21"/>
          <w:lang w:eastAsia="uk-UA"/>
        </w:rPr>
        <w:br/>
        <w:t>-  спеціального фонду міського бюджету у сумі 2 567 158 грн.</w:t>
      </w:r>
      <w:r w:rsidRPr="00936BA2">
        <w:rPr>
          <w:rFonts w:ascii="Arial" w:eastAsia="Times New Roman" w:hAnsi="Arial" w:cs="Arial"/>
          <w:sz w:val="21"/>
          <w:szCs w:val="21"/>
          <w:lang w:eastAsia="uk-UA"/>
        </w:rPr>
        <w:br/>
        <w:t>За рахунок зазначених видатків здійснювалась діяльність підприємств та закладів культури міського підпорядкування: двадцяти двох шкіл естетичного виховання дітей,  двох бібліотечних систем, шести клубних закладів  ("</w:t>
      </w:r>
      <w:proofErr w:type="spellStart"/>
      <w:r w:rsidRPr="00936BA2">
        <w:rPr>
          <w:rFonts w:ascii="Arial" w:eastAsia="Times New Roman" w:hAnsi="Arial" w:cs="Arial"/>
          <w:sz w:val="21"/>
          <w:szCs w:val="21"/>
          <w:lang w:eastAsia="uk-UA"/>
        </w:rPr>
        <w:t>Лоц</w:t>
      </w:r>
      <w:proofErr w:type="spellEnd"/>
      <w:r w:rsidRPr="00936BA2">
        <w:rPr>
          <w:rFonts w:ascii="Arial" w:eastAsia="Times New Roman" w:hAnsi="Arial" w:cs="Arial"/>
          <w:sz w:val="21"/>
          <w:szCs w:val="21"/>
          <w:lang w:eastAsia="uk-UA"/>
        </w:rPr>
        <w:t xml:space="preserve"> - </w:t>
      </w:r>
      <w:proofErr w:type="spellStart"/>
      <w:r w:rsidRPr="00936BA2">
        <w:rPr>
          <w:rFonts w:ascii="Arial" w:eastAsia="Times New Roman" w:hAnsi="Arial" w:cs="Arial"/>
          <w:sz w:val="21"/>
          <w:szCs w:val="21"/>
          <w:lang w:eastAsia="uk-UA"/>
        </w:rPr>
        <w:t>Кам'янський</w:t>
      </w:r>
      <w:proofErr w:type="spellEnd"/>
      <w:r w:rsidRPr="00936BA2">
        <w:rPr>
          <w:rFonts w:ascii="Arial" w:eastAsia="Times New Roman" w:hAnsi="Arial" w:cs="Arial"/>
          <w:sz w:val="21"/>
          <w:szCs w:val="21"/>
          <w:lang w:eastAsia="uk-UA"/>
        </w:rPr>
        <w:t xml:space="preserve"> Будинок культури", Палац культури "Північний", Будинок культури "Енергетик", Культурно-</w:t>
      </w:r>
      <w:proofErr w:type="spellStart"/>
      <w:r w:rsidRPr="00936BA2">
        <w:rPr>
          <w:rFonts w:ascii="Arial" w:eastAsia="Times New Roman" w:hAnsi="Arial" w:cs="Arial"/>
          <w:sz w:val="21"/>
          <w:szCs w:val="21"/>
          <w:lang w:eastAsia="uk-UA"/>
        </w:rPr>
        <w:t>дозвілевий</w:t>
      </w:r>
      <w:proofErr w:type="spellEnd"/>
      <w:r w:rsidRPr="00936BA2">
        <w:rPr>
          <w:rFonts w:ascii="Arial" w:eastAsia="Times New Roman" w:hAnsi="Arial" w:cs="Arial"/>
          <w:sz w:val="21"/>
          <w:szCs w:val="21"/>
          <w:lang w:eastAsia="uk-UA"/>
        </w:rPr>
        <w:t xml:space="preserve"> комплекс "</w:t>
      </w:r>
      <w:proofErr w:type="spellStart"/>
      <w:r w:rsidRPr="00936BA2">
        <w:rPr>
          <w:rFonts w:ascii="Arial" w:eastAsia="Times New Roman" w:hAnsi="Arial" w:cs="Arial"/>
          <w:sz w:val="21"/>
          <w:szCs w:val="21"/>
          <w:lang w:eastAsia="uk-UA"/>
        </w:rPr>
        <w:t>Кайдацький</w:t>
      </w:r>
      <w:proofErr w:type="spellEnd"/>
      <w:r w:rsidRPr="00936BA2">
        <w:rPr>
          <w:rFonts w:ascii="Arial" w:eastAsia="Times New Roman" w:hAnsi="Arial" w:cs="Arial"/>
          <w:sz w:val="21"/>
          <w:szCs w:val="21"/>
          <w:lang w:eastAsia="uk-UA"/>
        </w:rPr>
        <w:t>", Культурно-</w:t>
      </w:r>
      <w:proofErr w:type="spellStart"/>
      <w:r w:rsidRPr="00936BA2">
        <w:rPr>
          <w:rFonts w:ascii="Arial" w:eastAsia="Times New Roman" w:hAnsi="Arial" w:cs="Arial"/>
          <w:sz w:val="21"/>
          <w:szCs w:val="21"/>
          <w:lang w:eastAsia="uk-UA"/>
        </w:rPr>
        <w:t>дозвілевий</w:t>
      </w:r>
      <w:proofErr w:type="spellEnd"/>
      <w:r w:rsidRPr="00936BA2">
        <w:rPr>
          <w:rFonts w:ascii="Arial" w:eastAsia="Times New Roman" w:hAnsi="Arial" w:cs="Arial"/>
          <w:sz w:val="21"/>
          <w:szCs w:val="21"/>
          <w:lang w:eastAsia="uk-UA"/>
        </w:rPr>
        <w:t xml:space="preserve"> центр "Іскра", Культурно-спортивний </w:t>
      </w:r>
      <w:proofErr w:type="spellStart"/>
      <w:r w:rsidRPr="00936BA2">
        <w:rPr>
          <w:rFonts w:ascii="Arial" w:eastAsia="Times New Roman" w:hAnsi="Arial" w:cs="Arial"/>
          <w:sz w:val="21"/>
          <w:szCs w:val="21"/>
          <w:lang w:eastAsia="uk-UA"/>
        </w:rPr>
        <w:t>комплекс"Шинник</w:t>
      </w:r>
      <w:proofErr w:type="spellEnd"/>
      <w:r w:rsidRPr="00936BA2">
        <w:rPr>
          <w:rFonts w:ascii="Arial" w:eastAsia="Times New Roman" w:hAnsi="Arial" w:cs="Arial"/>
          <w:sz w:val="21"/>
          <w:szCs w:val="21"/>
          <w:lang w:eastAsia="uk-UA"/>
        </w:rPr>
        <w:t>"),п’яти театрів (Дніпропетровський міський український театр одного актора „Крик”, Дніпропетровський міський молодіжний театр-студія „Віримо”, Дніпропетровський телевізійний театр, Дніпропетровський міський театр ляльок «Театр актора та ляльки», Дніпропетровський міський театр „КВН ДГУ”), шість парків (Центральний парк культури та відпочинку ім. Т.Г. Шевченка, Центральний міський дитячий парк Лазаря Глоби, парк культури та відпочинку ім. Б. Хмельницького, парк культури та відпочинку ім. Воронцова, парк культури та відпочинку Придніпровський, Етнографічні парки Дніпропетровська), вокально–хореографічного ансамблю "Юність Дніпра", Дніпропетровського планетарію, Дніпропетровського Будинку мистецтв.</w:t>
      </w:r>
      <w:r w:rsidRPr="00936BA2">
        <w:rPr>
          <w:rFonts w:ascii="Arial" w:eastAsia="Times New Roman" w:hAnsi="Arial" w:cs="Arial"/>
          <w:sz w:val="21"/>
          <w:szCs w:val="21"/>
          <w:lang w:eastAsia="uk-UA"/>
        </w:rPr>
        <w:br/>
        <w:t>Із загальної суми видатки за напрямками складають:</w:t>
      </w:r>
      <w:r w:rsidRPr="00936BA2">
        <w:rPr>
          <w:rFonts w:ascii="Arial" w:eastAsia="Times New Roman" w:hAnsi="Arial" w:cs="Arial"/>
          <w:sz w:val="21"/>
          <w:szCs w:val="21"/>
          <w:lang w:eastAsia="uk-UA"/>
        </w:rPr>
        <w:br/>
        <w:t>-  на заробітну плату  по закладам культури – 64 937 513  грн.</w:t>
      </w:r>
      <w:r w:rsidRPr="00936BA2">
        <w:rPr>
          <w:rFonts w:ascii="Arial" w:eastAsia="Times New Roman" w:hAnsi="Arial" w:cs="Arial"/>
          <w:sz w:val="21"/>
          <w:szCs w:val="21"/>
          <w:lang w:eastAsia="uk-UA"/>
        </w:rPr>
        <w:br/>
        <w:t>-  нарахування на заробітну плату – 23 425 760 грн.</w:t>
      </w:r>
      <w:r w:rsidRPr="00936BA2">
        <w:rPr>
          <w:rFonts w:ascii="Arial" w:eastAsia="Times New Roman" w:hAnsi="Arial" w:cs="Arial"/>
          <w:sz w:val="21"/>
          <w:szCs w:val="21"/>
          <w:lang w:eastAsia="uk-UA"/>
        </w:rPr>
        <w:br/>
        <w:t>-  на оплату енергоносіїв – 7 631 768 грн.</w:t>
      </w:r>
      <w:r w:rsidRPr="00936BA2">
        <w:rPr>
          <w:rFonts w:ascii="Arial" w:eastAsia="Times New Roman" w:hAnsi="Arial" w:cs="Arial"/>
          <w:sz w:val="21"/>
          <w:szCs w:val="21"/>
          <w:lang w:eastAsia="uk-UA"/>
        </w:rPr>
        <w:br/>
        <w:t>Видатки на заробітну плату включали:</w:t>
      </w:r>
      <w:r w:rsidRPr="00936BA2">
        <w:rPr>
          <w:rFonts w:ascii="Arial" w:eastAsia="Times New Roman" w:hAnsi="Arial" w:cs="Arial"/>
          <w:sz w:val="21"/>
          <w:szCs w:val="21"/>
          <w:lang w:eastAsia="uk-UA"/>
        </w:rPr>
        <w:br/>
        <w:t>- утримання  2 172,5 штатних одиниць (ставок заробітної плати)  за рахунок загального фонду бюджету;</w:t>
      </w:r>
      <w:r w:rsidRPr="00936BA2">
        <w:rPr>
          <w:rFonts w:ascii="Arial" w:eastAsia="Times New Roman" w:hAnsi="Arial" w:cs="Arial"/>
          <w:sz w:val="21"/>
          <w:szCs w:val="21"/>
          <w:lang w:eastAsia="uk-UA"/>
        </w:rPr>
        <w:br/>
        <w:t>- виплату педагогічним працівникам надбавки в розмірі 20% за особливі умови праці (згідно з Постановою Кабінету Міністрів України від 23.03.2011 року № 373);</w:t>
      </w:r>
      <w:r w:rsidRPr="00936BA2">
        <w:rPr>
          <w:rFonts w:ascii="Arial" w:eastAsia="Times New Roman" w:hAnsi="Arial" w:cs="Arial"/>
          <w:sz w:val="21"/>
          <w:szCs w:val="21"/>
          <w:lang w:eastAsia="uk-UA"/>
        </w:rPr>
        <w:br/>
        <w:t>- виплату бібліотечним працівникам  надбавки за особливі умови праці (згідно з Постановою Кабінету Міністрів України  від 30.09.2009 № 1073) .</w:t>
      </w:r>
      <w:r w:rsidRPr="00936BA2">
        <w:rPr>
          <w:rFonts w:ascii="Arial" w:eastAsia="Times New Roman" w:hAnsi="Arial" w:cs="Arial"/>
          <w:sz w:val="21"/>
          <w:szCs w:val="21"/>
          <w:lang w:eastAsia="uk-UA"/>
        </w:rPr>
        <w:br/>
        <w:t>- виплати щорічної грошової  винагороди за сумлінну працю педагогічним працівникам (Ст. 57 Закону України «Про освіту») у сумі 674 211 грн.</w:t>
      </w:r>
      <w:r w:rsidRPr="00936BA2">
        <w:rPr>
          <w:rFonts w:ascii="Arial" w:eastAsia="Times New Roman" w:hAnsi="Arial" w:cs="Arial"/>
          <w:sz w:val="21"/>
          <w:szCs w:val="21"/>
          <w:lang w:eastAsia="uk-UA"/>
        </w:rPr>
        <w:br/>
        <w:t>- виплати винагород творчим працівникам театрів у сумі 127 566 грн.,</w:t>
      </w:r>
      <w:r w:rsidRPr="00936BA2">
        <w:rPr>
          <w:rFonts w:ascii="Arial" w:eastAsia="Times New Roman" w:hAnsi="Arial" w:cs="Arial"/>
          <w:sz w:val="21"/>
          <w:szCs w:val="21"/>
          <w:lang w:eastAsia="uk-UA"/>
        </w:rPr>
        <w:br/>
        <w:t xml:space="preserve">- виплату </w:t>
      </w:r>
      <w:proofErr w:type="spellStart"/>
      <w:r w:rsidRPr="00936BA2">
        <w:rPr>
          <w:rFonts w:ascii="Arial" w:eastAsia="Times New Roman" w:hAnsi="Arial" w:cs="Arial"/>
          <w:sz w:val="21"/>
          <w:szCs w:val="21"/>
          <w:lang w:eastAsia="uk-UA"/>
        </w:rPr>
        <w:t>вигороди</w:t>
      </w:r>
      <w:proofErr w:type="spellEnd"/>
      <w:r w:rsidRPr="00936BA2">
        <w:rPr>
          <w:rFonts w:ascii="Arial" w:eastAsia="Times New Roman" w:hAnsi="Arial" w:cs="Arial"/>
          <w:sz w:val="21"/>
          <w:szCs w:val="21"/>
          <w:lang w:eastAsia="uk-UA"/>
        </w:rPr>
        <w:t xml:space="preserve"> музейним працівникам у сумі 1 551 000 грн.</w:t>
      </w:r>
      <w:r w:rsidRPr="00936BA2">
        <w:rPr>
          <w:rFonts w:ascii="Arial" w:eastAsia="Times New Roman" w:hAnsi="Arial" w:cs="Arial"/>
          <w:sz w:val="21"/>
          <w:szCs w:val="21"/>
          <w:lang w:eastAsia="uk-UA"/>
        </w:rPr>
        <w:br/>
        <w:t> - інших виплат відповідно до чинного законодавства.</w:t>
      </w:r>
      <w:r w:rsidRPr="00936BA2">
        <w:rPr>
          <w:rFonts w:ascii="Arial" w:eastAsia="Times New Roman" w:hAnsi="Arial" w:cs="Arial"/>
          <w:sz w:val="21"/>
          <w:szCs w:val="21"/>
          <w:lang w:eastAsia="uk-UA"/>
        </w:rPr>
        <w:br/>
        <w:t>Відповідно до Закону України  «Про індексацію грошових доходів населення» від 03.07.1991 року № 1282- ХІІ із змінами) здійснювалась індексації заробітної плати. Протягом 2014 року відповідні витрати склали 1 642 396 грн.</w:t>
      </w:r>
      <w:r w:rsidRPr="00936BA2">
        <w:rPr>
          <w:rFonts w:ascii="Arial" w:eastAsia="Times New Roman" w:hAnsi="Arial" w:cs="Arial"/>
          <w:sz w:val="21"/>
          <w:szCs w:val="21"/>
          <w:lang w:eastAsia="uk-UA"/>
        </w:rPr>
        <w:br/>
        <w:t>Видатки на оплату енергоносіїв склали:</w:t>
      </w:r>
      <w:r w:rsidRPr="00936BA2">
        <w:rPr>
          <w:rFonts w:ascii="Arial" w:eastAsia="Times New Roman" w:hAnsi="Arial" w:cs="Arial"/>
          <w:sz w:val="21"/>
          <w:szCs w:val="21"/>
          <w:lang w:eastAsia="uk-UA"/>
        </w:rPr>
        <w:br/>
        <w:t>-  теплопостачання – 5 736 493 грн.</w:t>
      </w:r>
      <w:r w:rsidRPr="00936BA2">
        <w:rPr>
          <w:rFonts w:ascii="Arial" w:eastAsia="Times New Roman" w:hAnsi="Arial" w:cs="Arial"/>
          <w:sz w:val="21"/>
          <w:szCs w:val="21"/>
          <w:lang w:eastAsia="uk-UA"/>
        </w:rPr>
        <w:br/>
        <w:t>-  водопостачання і водовідведення – 119 639 грн.</w:t>
      </w:r>
      <w:r w:rsidRPr="00936BA2">
        <w:rPr>
          <w:rFonts w:ascii="Arial" w:eastAsia="Times New Roman" w:hAnsi="Arial" w:cs="Arial"/>
          <w:sz w:val="21"/>
          <w:szCs w:val="21"/>
          <w:lang w:eastAsia="uk-UA"/>
        </w:rPr>
        <w:br/>
        <w:t>-  електричної енергії – 1 483 941 грн.</w:t>
      </w:r>
      <w:r w:rsidRPr="00936BA2">
        <w:rPr>
          <w:rFonts w:ascii="Arial" w:eastAsia="Times New Roman" w:hAnsi="Arial" w:cs="Arial"/>
          <w:sz w:val="21"/>
          <w:szCs w:val="21"/>
          <w:lang w:eastAsia="uk-UA"/>
        </w:rPr>
        <w:br/>
        <w:t>-  природного газу – 291 695 грн.</w:t>
      </w:r>
      <w:r w:rsidRPr="00936BA2">
        <w:rPr>
          <w:rFonts w:ascii="Arial" w:eastAsia="Times New Roman" w:hAnsi="Arial" w:cs="Arial"/>
          <w:sz w:val="21"/>
          <w:szCs w:val="21"/>
          <w:lang w:eastAsia="uk-UA"/>
        </w:rPr>
        <w:br/>
        <w:t>На розвиток галузі було витрачено 2 567 158 грн. з них:</w:t>
      </w:r>
      <w:r w:rsidRPr="00936BA2">
        <w:rPr>
          <w:rFonts w:ascii="Arial" w:eastAsia="Times New Roman" w:hAnsi="Arial" w:cs="Arial"/>
          <w:sz w:val="21"/>
          <w:szCs w:val="21"/>
          <w:lang w:eastAsia="uk-UA"/>
        </w:rPr>
        <w:br/>
        <w:t>- на придбання обладнання і предметів довгострокового користування – 2 279 180  грн.</w:t>
      </w:r>
      <w:r w:rsidRPr="00936BA2">
        <w:rPr>
          <w:rFonts w:ascii="Arial" w:eastAsia="Times New Roman" w:hAnsi="Arial" w:cs="Arial"/>
          <w:sz w:val="21"/>
          <w:szCs w:val="21"/>
          <w:lang w:eastAsia="uk-UA"/>
        </w:rPr>
        <w:br/>
        <w:t>- на капітальні ремонти – 287 978 грн.</w:t>
      </w:r>
      <w:r w:rsidRPr="00936BA2">
        <w:rPr>
          <w:rFonts w:ascii="Arial" w:eastAsia="Times New Roman" w:hAnsi="Arial" w:cs="Arial"/>
          <w:sz w:val="21"/>
          <w:szCs w:val="21"/>
          <w:lang w:eastAsia="uk-UA"/>
        </w:rPr>
        <w:br/>
        <w:t>На утримання закладів культури за статтею "</w:t>
      </w:r>
      <w:r w:rsidRPr="00936BA2">
        <w:rPr>
          <w:rFonts w:ascii="Arial" w:eastAsia="Times New Roman" w:hAnsi="Arial" w:cs="Arial"/>
          <w:b/>
          <w:bCs/>
          <w:sz w:val="21"/>
          <w:szCs w:val="21"/>
          <w:lang w:eastAsia="uk-UA"/>
        </w:rPr>
        <w:t xml:space="preserve">Інші </w:t>
      </w:r>
      <w:proofErr w:type="spellStart"/>
      <w:r w:rsidRPr="00936BA2">
        <w:rPr>
          <w:rFonts w:ascii="Arial" w:eastAsia="Times New Roman" w:hAnsi="Arial" w:cs="Arial"/>
          <w:b/>
          <w:bCs/>
          <w:sz w:val="21"/>
          <w:szCs w:val="21"/>
          <w:lang w:eastAsia="uk-UA"/>
        </w:rPr>
        <w:t>видатки</w:t>
      </w:r>
      <w:r w:rsidRPr="00936BA2">
        <w:rPr>
          <w:rFonts w:ascii="Arial" w:eastAsia="Times New Roman" w:hAnsi="Arial" w:cs="Arial"/>
          <w:sz w:val="21"/>
          <w:szCs w:val="21"/>
          <w:lang w:eastAsia="uk-UA"/>
        </w:rPr>
        <w:t>"було</w:t>
      </w:r>
      <w:proofErr w:type="spellEnd"/>
      <w:r w:rsidRPr="00936BA2">
        <w:rPr>
          <w:rFonts w:ascii="Arial" w:eastAsia="Times New Roman" w:hAnsi="Arial" w:cs="Arial"/>
          <w:sz w:val="21"/>
          <w:szCs w:val="21"/>
          <w:lang w:eastAsia="uk-UA"/>
        </w:rPr>
        <w:t xml:space="preserve"> витрачено –16 552 635  грн. Видатки включають: придбання предметів, матеріалів, сплата податків, відрахування профспілковим організаціям, обслуговування програмного забезпечення, оренду приміщень, проведення поточних ремонтів та обслуговування обладнання, музичних інструментів, </w:t>
      </w:r>
      <w:r w:rsidRPr="00936BA2">
        <w:rPr>
          <w:rFonts w:ascii="Arial" w:eastAsia="Times New Roman" w:hAnsi="Arial" w:cs="Arial"/>
          <w:sz w:val="21"/>
          <w:szCs w:val="21"/>
          <w:lang w:eastAsia="uk-UA"/>
        </w:rPr>
        <w:lastRenderedPageBreak/>
        <w:t xml:space="preserve">приміщень, транспортні послуги, послуги зв’язку та Інтернету, оформлення права власності на приміщення та землю, відшкодування земельного податку, розробка </w:t>
      </w:r>
      <w:proofErr w:type="spellStart"/>
      <w:r w:rsidRPr="00936BA2">
        <w:rPr>
          <w:rFonts w:ascii="Arial" w:eastAsia="Times New Roman" w:hAnsi="Arial" w:cs="Arial"/>
          <w:sz w:val="21"/>
          <w:szCs w:val="21"/>
          <w:lang w:eastAsia="uk-UA"/>
        </w:rPr>
        <w:t>землевпорядной</w:t>
      </w:r>
      <w:proofErr w:type="spellEnd"/>
      <w:r w:rsidRPr="00936BA2">
        <w:rPr>
          <w:rFonts w:ascii="Arial" w:eastAsia="Times New Roman" w:hAnsi="Arial" w:cs="Arial"/>
          <w:sz w:val="21"/>
          <w:szCs w:val="21"/>
          <w:lang w:eastAsia="uk-UA"/>
        </w:rPr>
        <w:t xml:space="preserve"> документації, охоронну та пожежну сигналізацію, вивіз сміття, експлуатаційні видатки, обслуговування газопроводів та ліфтів, вимірювання ізоляції, страховку приміщень, навчання, підвищення кваліфікації  та інші. </w:t>
      </w:r>
    </w:p>
    <w:p w:rsidR="003349F6" w:rsidRPr="00936BA2" w:rsidRDefault="003349F6"/>
    <w:sectPr w:rsidR="003349F6" w:rsidRPr="00936B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A2"/>
    <w:rsid w:val="003349F6"/>
    <w:rsid w:val="00936B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4FE42-B645-4F41-B4D7-F65D0303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6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BA2"/>
    <w:rPr>
      <w:rFonts w:ascii="Times New Roman" w:eastAsia="Times New Roman" w:hAnsi="Times New Roman" w:cs="Times New Roman"/>
      <w:b/>
      <w:bCs/>
      <w:kern w:val="36"/>
      <w:sz w:val="48"/>
      <w:szCs w:val="48"/>
      <w:lang w:eastAsia="uk-UA"/>
    </w:rPr>
  </w:style>
  <w:style w:type="character" w:customStyle="1" w:styleId="at-label">
    <w:name w:val="at-label"/>
    <w:basedOn w:val="a0"/>
    <w:rsid w:val="00936BA2"/>
  </w:style>
  <w:style w:type="character" w:styleId="a3">
    <w:name w:val="Strong"/>
    <w:basedOn w:val="a0"/>
    <w:uiPriority w:val="22"/>
    <w:qFormat/>
    <w:rsid w:val="00936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318821">
      <w:bodyDiv w:val="1"/>
      <w:marLeft w:val="0"/>
      <w:marRight w:val="0"/>
      <w:marTop w:val="0"/>
      <w:marBottom w:val="0"/>
      <w:divBdr>
        <w:top w:val="none" w:sz="0" w:space="0" w:color="auto"/>
        <w:left w:val="none" w:sz="0" w:space="0" w:color="auto"/>
        <w:bottom w:val="none" w:sz="0" w:space="0" w:color="auto"/>
        <w:right w:val="none" w:sz="0" w:space="0" w:color="auto"/>
      </w:divBdr>
      <w:divsChild>
        <w:div w:id="300038534">
          <w:marLeft w:val="0"/>
          <w:marRight w:val="0"/>
          <w:marTop w:val="0"/>
          <w:marBottom w:val="300"/>
          <w:divBdr>
            <w:top w:val="none" w:sz="0" w:space="0" w:color="auto"/>
            <w:left w:val="none" w:sz="0" w:space="0" w:color="auto"/>
            <w:bottom w:val="none" w:sz="0" w:space="0" w:color="auto"/>
            <w:right w:val="none" w:sz="0" w:space="0" w:color="auto"/>
          </w:divBdr>
          <w:divsChild>
            <w:div w:id="1490900712">
              <w:marLeft w:val="0"/>
              <w:marRight w:val="0"/>
              <w:marTop w:val="0"/>
              <w:marBottom w:val="0"/>
              <w:divBdr>
                <w:top w:val="none" w:sz="0" w:space="0" w:color="auto"/>
                <w:left w:val="none" w:sz="0" w:space="0" w:color="auto"/>
                <w:bottom w:val="none" w:sz="0" w:space="0" w:color="auto"/>
                <w:right w:val="none" w:sz="0" w:space="0" w:color="auto"/>
              </w:divBdr>
              <w:divsChild>
                <w:div w:id="590091281">
                  <w:marLeft w:val="0"/>
                  <w:marRight w:val="0"/>
                  <w:marTop w:val="0"/>
                  <w:marBottom w:val="0"/>
                  <w:divBdr>
                    <w:top w:val="none" w:sz="0" w:space="0" w:color="auto"/>
                    <w:left w:val="none" w:sz="0" w:space="0" w:color="auto"/>
                    <w:bottom w:val="none" w:sz="0" w:space="0" w:color="auto"/>
                    <w:right w:val="none" w:sz="0" w:space="0" w:color="auto"/>
                  </w:divBdr>
                  <w:divsChild>
                    <w:div w:id="8057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83394">
          <w:marLeft w:val="0"/>
          <w:marRight w:val="0"/>
          <w:marTop w:val="0"/>
          <w:marBottom w:val="0"/>
          <w:divBdr>
            <w:top w:val="none" w:sz="0" w:space="0" w:color="auto"/>
            <w:left w:val="none" w:sz="0" w:space="0" w:color="auto"/>
            <w:bottom w:val="none" w:sz="0" w:space="0" w:color="auto"/>
            <w:right w:val="none" w:sz="0" w:space="0" w:color="auto"/>
          </w:divBdr>
          <w:divsChild>
            <w:div w:id="999774830">
              <w:marLeft w:val="0"/>
              <w:marRight w:val="0"/>
              <w:marTop w:val="0"/>
              <w:marBottom w:val="300"/>
              <w:divBdr>
                <w:top w:val="none" w:sz="0" w:space="0" w:color="auto"/>
                <w:left w:val="none" w:sz="0" w:space="0" w:color="auto"/>
                <w:bottom w:val="none" w:sz="0" w:space="0" w:color="auto"/>
                <w:right w:val="none" w:sz="0" w:space="0" w:color="auto"/>
              </w:divBdr>
              <w:divsChild>
                <w:div w:id="1098213535">
                  <w:marLeft w:val="-150"/>
                  <w:marRight w:val="-150"/>
                  <w:marTop w:val="0"/>
                  <w:marBottom w:val="0"/>
                  <w:divBdr>
                    <w:top w:val="none" w:sz="0" w:space="0" w:color="auto"/>
                    <w:left w:val="none" w:sz="0" w:space="0" w:color="auto"/>
                    <w:bottom w:val="none" w:sz="0" w:space="0" w:color="auto"/>
                    <w:right w:val="none" w:sz="0" w:space="0" w:color="auto"/>
                  </w:divBdr>
                  <w:divsChild>
                    <w:div w:id="83036653">
                      <w:marLeft w:val="0"/>
                      <w:marRight w:val="0"/>
                      <w:marTop w:val="0"/>
                      <w:marBottom w:val="0"/>
                      <w:divBdr>
                        <w:top w:val="none" w:sz="0" w:space="0" w:color="auto"/>
                        <w:left w:val="none" w:sz="0" w:space="0" w:color="auto"/>
                        <w:bottom w:val="none" w:sz="0" w:space="0" w:color="auto"/>
                        <w:right w:val="none" w:sz="0" w:space="0" w:color="auto"/>
                      </w:divBdr>
                      <w:divsChild>
                        <w:div w:id="18563103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2536</Words>
  <Characters>1446</Characters>
  <Application>Microsoft Office Word</Application>
  <DocSecurity>0</DocSecurity>
  <Lines>12</Lines>
  <Paragraphs>7</Paragraphs>
  <ScaleCrop>false</ScaleCrop>
  <Company>Дніпровська міська рада</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Олександрівна Петренко</dc:creator>
  <cp:keywords/>
  <dc:description/>
  <cp:lastModifiedBy>Анастасія Олександрівна Петренко</cp:lastModifiedBy>
  <cp:revision>2</cp:revision>
  <dcterms:created xsi:type="dcterms:W3CDTF">2021-04-02T13:22:00Z</dcterms:created>
  <dcterms:modified xsi:type="dcterms:W3CDTF">2021-04-02T13:22:00Z</dcterms:modified>
</cp:coreProperties>
</file>