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AD" w:rsidRPr="00EC43AD" w:rsidRDefault="00EC43AD" w:rsidP="00EC43AD">
      <w:pPr>
        <w:spacing w:after="300" w:line="480" w:lineRule="atLeast"/>
        <w:outlineLvl w:val="0"/>
        <w:rPr>
          <w:rFonts w:ascii="Arial" w:eastAsia="Times New Roman" w:hAnsi="Arial" w:cs="Arial"/>
          <w:sz w:val="2"/>
          <w:szCs w:val="2"/>
          <w:lang w:eastAsia="uk-UA"/>
        </w:rPr>
      </w:pPr>
      <w:bookmarkStart w:id="0" w:name="_GoBack"/>
      <w:r w:rsidRPr="00EC43AD">
        <w:rPr>
          <w:rFonts w:ascii="inherit" w:eastAsia="Times New Roman" w:hAnsi="inherit" w:cs="Arial"/>
          <w:b/>
          <w:bCs/>
          <w:smallCaps/>
          <w:kern w:val="36"/>
          <w:sz w:val="36"/>
          <w:szCs w:val="36"/>
          <w:lang w:eastAsia="uk-UA"/>
        </w:rPr>
        <w:t>З</w:t>
      </w:r>
      <w:r>
        <w:rPr>
          <w:rFonts w:ascii="inherit" w:eastAsia="Times New Roman" w:hAnsi="inherit" w:cs="Arial"/>
          <w:b/>
          <w:bCs/>
          <w:smallCaps/>
          <w:kern w:val="36"/>
          <w:sz w:val="36"/>
          <w:szCs w:val="36"/>
          <w:lang w:eastAsia="uk-UA"/>
        </w:rPr>
        <w:t>віт департаменту</w:t>
      </w:r>
      <w:r w:rsidRPr="00EC43AD">
        <w:rPr>
          <w:rFonts w:ascii="inherit" w:eastAsia="Times New Roman" w:hAnsi="inherit" w:cs="Arial"/>
          <w:b/>
          <w:bCs/>
          <w:smallCaps/>
          <w:kern w:val="36"/>
          <w:sz w:val="36"/>
          <w:szCs w:val="36"/>
          <w:lang w:eastAsia="uk-UA"/>
        </w:rPr>
        <w:t xml:space="preserve"> </w:t>
      </w:r>
      <w:r>
        <w:rPr>
          <w:rFonts w:ascii="inherit" w:eastAsia="Times New Roman" w:hAnsi="inherit" w:cs="Arial"/>
          <w:b/>
          <w:bCs/>
          <w:smallCaps/>
          <w:kern w:val="36"/>
          <w:sz w:val="36"/>
          <w:szCs w:val="36"/>
          <w:lang w:eastAsia="uk-UA"/>
        </w:rPr>
        <w:t>комунального господарства та капітального будівництва</w:t>
      </w:r>
      <w:r w:rsidRPr="00EC43AD">
        <w:rPr>
          <w:rFonts w:ascii="inherit" w:eastAsia="Times New Roman" w:hAnsi="inherit" w:cs="Arial"/>
          <w:b/>
          <w:bCs/>
          <w:smallCaps/>
          <w:kern w:val="36"/>
          <w:sz w:val="36"/>
          <w:szCs w:val="36"/>
          <w:lang w:eastAsia="uk-UA"/>
        </w:rPr>
        <w:t xml:space="preserve"> Д</w:t>
      </w:r>
      <w:r>
        <w:rPr>
          <w:rFonts w:ascii="inherit" w:eastAsia="Times New Roman" w:hAnsi="inherit" w:cs="Arial"/>
          <w:b/>
          <w:bCs/>
          <w:smallCaps/>
          <w:kern w:val="36"/>
          <w:sz w:val="36"/>
          <w:szCs w:val="36"/>
          <w:lang w:eastAsia="uk-UA"/>
        </w:rPr>
        <w:t>ніпропетровської міської ради</w:t>
      </w:r>
      <w:r w:rsidRPr="00EC43AD">
        <w:rPr>
          <w:rFonts w:ascii="inherit" w:eastAsia="Times New Roman" w:hAnsi="inherit" w:cs="Arial"/>
          <w:b/>
          <w:bCs/>
          <w:smallCaps/>
          <w:kern w:val="36"/>
          <w:sz w:val="36"/>
          <w:szCs w:val="36"/>
          <w:lang w:eastAsia="uk-UA"/>
        </w:rPr>
        <w:t xml:space="preserve"> </w:t>
      </w:r>
      <w:r>
        <w:rPr>
          <w:rFonts w:ascii="inherit" w:eastAsia="Times New Roman" w:hAnsi="inherit" w:cs="Arial"/>
          <w:b/>
          <w:bCs/>
          <w:smallCaps/>
          <w:kern w:val="36"/>
          <w:sz w:val="36"/>
          <w:szCs w:val="36"/>
          <w:lang w:eastAsia="uk-UA"/>
        </w:rPr>
        <w:t>у</w:t>
      </w:r>
      <w:r w:rsidRPr="00EC43AD">
        <w:rPr>
          <w:rFonts w:ascii="inherit" w:eastAsia="Times New Roman" w:hAnsi="inherit" w:cs="Arial"/>
          <w:b/>
          <w:bCs/>
          <w:smallCaps/>
          <w:kern w:val="36"/>
          <w:sz w:val="36"/>
          <w:szCs w:val="36"/>
          <w:lang w:eastAsia="uk-UA"/>
        </w:rPr>
        <w:t xml:space="preserve"> 2014 </w:t>
      </w:r>
      <w:r>
        <w:rPr>
          <w:rFonts w:ascii="inherit" w:eastAsia="Times New Roman" w:hAnsi="inherit" w:cs="Arial"/>
          <w:b/>
          <w:bCs/>
          <w:smallCaps/>
          <w:kern w:val="36"/>
          <w:sz w:val="36"/>
          <w:szCs w:val="36"/>
          <w:lang w:eastAsia="uk-UA"/>
        </w:rPr>
        <w:t>році</w:t>
      </w:r>
    </w:p>
    <w:bookmarkEnd w:id="0"/>
    <w:p w:rsidR="00EC43AD" w:rsidRPr="00EC43AD" w:rsidRDefault="00EC43AD" w:rsidP="00EC43A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В 2014 році обсяг бюджетного фінансування для виконання завдань, покладених на Департамент комунального господарства та капітального будівництва Дніпропетровської міської ради склав 706,5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 Кошти були витрачені на заходи по благоустрою території м. Дніпропетровська, ремонт, будівництво та реконструкцію інших об’єктів: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100203 „Благоустрій міст, сіл, селищ” – 120,283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(у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т.ч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погашено кредиторську заборгованість 2013 року у сумі 26,350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.);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100302 „Комбінати комунальних підприємств, районні виробничі об’єднання та інші підприємства установи та організації житлово-комунального господарства” – 50,404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(у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т.ч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погашено кредиторську заборгованість 2013 року у сумі 0,179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.);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100602 "Погашення заборгованості з різниці в тарифах на теплову енергію, що вироблялася, транспортувалася та постачалася населенню, яка виникла у зв’язку з невідповідністю фактичної вартості теплової енергії, що затверджувалися органами державної влади чи органами місцевого самоврядування” – 414,114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150101 „Капітальні вкладення” – 13,496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(у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т.ч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погашено кредиторську заборгованість 2013 року у сумі 1,444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.);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 по КФК 160101 „Землеустрій” – 0,024 млн.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170703 „Видатки на фінансування робіт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пов”язаних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з будівництвом, реконструкцією, ремонтом і утриманням автомобільних доріг” – 7,136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.(у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т.ч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погашено кредиторську заборгованість 2013 року у сумі 2,523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.);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 по КФК 180409 „ Внески органів влади автономної республіки Крим та органів місцевого самоврядування у статутні фонди суб’єктів підприємницької діяльності” – 75,409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180410 „Інші заходи, пов’язані з економічною діяльністю” – 2,204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240601 „Охорона та раціональне використання природних ресурсів” – 17,493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(у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т.ч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погашено кредиторську заборгованість 2013 року у сумі 2,004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.);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240602 „Утилізація відходів” – 0,077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240900 „Цільові фонди утворені, органами місцевого самоврядування” – 1,716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250380 „Інші субвенції” – 3,966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250324 „Субвенція іншим бюджетам на виконання інвестиційних проектів ” – 0,172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 КФК 250404 „Інші видатки” – 0,012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 </w:t>
      </w:r>
    </w:p>
    <w:p w:rsidR="00EC43AD" w:rsidRPr="00EC43AD" w:rsidRDefault="00EC43AD" w:rsidP="00EC43A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b/>
          <w:bCs/>
          <w:sz w:val="21"/>
          <w:szCs w:val="21"/>
          <w:u w:val="single"/>
          <w:lang w:eastAsia="uk-UA"/>
        </w:rPr>
        <w:t>Ремонт доріг</w:t>
      </w:r>
    </w:p>
    <w:p w:rsidR="00EC43AD" w:rsidRPr="00EC43AD" w:rsidRDefault="00EC43AD" w:rsidP="00EC43A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>Виконуючи заходи по забезпеченню безпеки руху та безперебійного руху транспорту на дорогах та вулицях міста Дніпропетровська були організовані і виконані роботи по </w:t>
      </w:r>
      <w:r w:rsidRPr="00EC43AD">
        <w:rPr>
          <w:rFonts w:ascii="Arial" w:eastAsia="Times New Roman" w:hAnsi="Arial" w:cs="Arial"/>
          <w:sz w:val="21"/>
          <w:szCs w:val="21"/>
          <w:u w:val="single"/>
          <w:lang w:eastAsia="uk-UA"/>
        </w:rPr>
        <w:t>поточному ремонту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> проїжджої частини.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В 2014 році роботи по поточному ремонту доріг і об’єктів дорожнього господарства виконані на суму 17,305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(14,962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– міський бюджет, 2,343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 – державний бюджет), </w:t>
      </w:r>
      <w:r w:rsidRPr="00EC43AD">
        <w:rPr>
          <w:rFonts w:ascii="Arial" w:eastAsia="Times New Roman" w:hAnsi="Arial" w:cs="Arial"/>
          <w:i/>
          <w:iCs/>
          <w:sz w:val="21"/>
          <w:szCs w:val="21"/>
          <w:lang w:eastAsia="uk-UA"/>
        </w:rPr>
        <w:t>в тому числі кредиторська заборгованість склала 3,344 млн.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Поточний ремонт доріг (ямковий) виконано, в основному, на головних магістралях міста на площі 72,4 тис.м</w:t>
      </w:r>
      <w:r w:rsidRPr="00EC43AD">
        <w:rPr>
          <w:rFonts w:ascii="Arial" w:eastAsia="Times New Roman" w:hAnsi="Arial" w:cs="Arial"/>
          <w:sz w:val="16"/>
          <w:szCs w:val="16"/>
          <w:vertAlign w:val="superscript"/>
          <w:lang w:eastAsia="uk-UA"/>
        </w:rPr>
        <w:t>2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>. Для порівняння – в 2013 році було відремонтовано таким ремонтом 260 тис.м</w:t>
      </w:r>
      <w:r w:rsidRPr="00EC43AD">
        <w:rPr>
          <w:rFonts w:ascii="Arial" w:eastAsia="Times New Roman" w:hAnsi="Arial" w:cs="Arial"/>
          <w:sz w:val="16"/>
          <w:szCs w:val="16"/>
          <w:vertAlign w:val="superscript"/>
          <w:lang w:eastAsia="uk-UA"/>
        </w:rPr>
        <w:t>2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 на суму 63,9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., тобто в попередній рік було майже в чотири рази більше. Насамперед, це було зумовлено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непроплатою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казначейством коштів за виконані роботи, що в свою чергу не давало можливості дорожнім підприємствам закуповувати вчасно і в необхідній кількості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дорожньо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-будівельні та паливо-мастильні матеріали.</w:t>
      </w:r>
    </w:p>
    <w:p w:rsidR="00EC43AD" w:rsidRPr="00EC43AD" w:rsidRDefault="00EC43AD" w:rsidP="00EC43A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b/>
          <w:bCs/>
          <w:sz w:val="21"/>
          <w:szCs w:val="21"/>
          <w:u w:val="single"/>
          <w:lang w:eastAsia="uk-UA"/>
        </w:rPr>
        <w:t>Утримання доріг</w:t>
      </w:r>
    </w:p>
    <w:p w:rsidR="00EC43AD" w:rsidRPr="00EC43AD" w:rsidRDefault="00EC43AD" w:rsidP="00EC43A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Санітарним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очищеннямтаутриманням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вулиць підприємствами комунального господарства за рахунок коштів міського бюджету була охоплена площа  – 5,41641 млн.м</w:t>
      </w:r>
      <w:r w:rsidRPr="00EC43AD">
        <w:rPr>
          <w:rFonts w:ascii="Arial" w:eastAsia="Times New Roman" w:hAnsi="Arial" w:cs="Arial"/>
          <w:sz w:val="16"/>
          <w:szCs w:val="16"/>
          <w:vertAlign w:val="superscript"/>
          <w:lang w:eastAsia="uk-UA"/>
        </w:rPr>
        <w:t>2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> (258 об’єктів).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Роботи проводились по підмітанню, миттю проїжджої частини, прибиранню випадкового сміття в літній період, снігоочищенню та посипанню доріг матеріалами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протиковзання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в зимовий період.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Для роботи в зимовий період виконкомом міської ради щорічно приймається рішення „Про заходи щодо забезпечення безперебійного руху транспорту в осінньо-зимовий період”. Цим рішенням визначається склад надзвичайної комісії для оперативного керівництва роботами щодо боротьби із сніговими заносами та ожеледицею, визначені і затверджені маршрути снігоочищення та посипання доріг в зимовий період за рахунок коштів міського бюджету.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До зимового періоду було підготовлено 124 одиниці спеціалізованої техніки, в тому числі: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lastRenderedPageBreak/>
        <w:t>посипальної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– 43 од., снігоочисної – 51 од., навантажувальної – 30 од. та заготовлено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посипальних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матеріалів в кількості 32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тис.тон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., з яких було використано 24,8 тис. тони.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По утриманню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вулично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-шляхової мережі міста було виконано робіт на суму 50,517 млн. грн., </w:t>
      </w:r>
      <w:r w:rsidRPr="00EC43AD">
        <w:rPr>
          <w:rFonts w:ascii="Arial" w:eastAsia="Times New Roman" w:hAnsi="Arial" w:cs="Arial"/>
          <w:i/>
          <w:iCs/>
          <w:sz w:val="21"/>
          <w:szCs w:val="21"/>
          <w:lang w:eastAsia="uk-UA"/>
        </w:rPr>
        <w:t>в тому числі зареєстровано кредиторську заборгованість у сумі 2026,6 тис. грн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Це майже на 6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більше ніж у 2013 році, за рахунок чого було збільшено кількість об’єктів і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разовість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їх прибирання.</w:t>
      </w:r>
    </w:p>
    <w:p w:rsidR="00EC43AD" w:rsidRPr="00EC43AD" w:rsidRDefault="00EC43AD" w:rsidP="00EC43A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b/>
          <w:bCs/>
          <w:sz w:val="21"/>
          <w:szCs w:val="21"/>
          <w:u w:val="single"/>
          <w:lang w:eastAsia="uk-UA"/>
        </w:rPr>
        <w:t>Зовнішнє освітлення</w:t>
      </w:r>
    </w:p>
    <w:p w:rsidR="00EC43AD" w:rsidRPr="00EC43AD" w:rsidRDefault="00EC43AD" w:rsidP="00EC43A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В 2014 році були виконані роботи на 100 об’єктах по ремонту і утриманню мереж зовнішнього освітлення на суму  20,954 млн. грн.,  де   7,981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 – вартість електроенергії. Загальна кредиторська заборгованість по зазначеному виду робіт склала 3 265,8 тис. грн.. По утриманню мереж виконані наступні обсяги робіт: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         замінено світильників – 2983 шт.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По поточному ремонту роботи виконані по: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         встановленню світильників і ламп - 8596 шт.;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         монтажу кабелю на тросі – 101 км;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         монтажу повітряної лінії – 4,7 км;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         встановленню опор – 73 шт.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Обсяг фінансування і обсяги робіт в цілому були виконані на рівні попереднього року.</w:t>
      </w:r>
    </w:p>
    <w:p w:rsidR="00EC43AD" w:rsidRPr="00EC43AD" w:rsidRDefault="00EC43AD" w:rsidP="00EC43A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b/>
          <w:bCs/>
          <w:sz w:val="21"/>
          <w:szCs w:val="21"/>
          <w:u w:val="single"/>
          <w:lang w:eastAsia="uk-UA"/>
        </w:rPr>
        <w:t>Зелене господарство</w:t>
      </w:r>
    </w:p>
    <w:p w:rsidR="00EC43AD" w:rsidRPr="00EC43AD" w:rsidRDefault="00EC43AD" w:rsidP="00EC43A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В 2014 році на об’єктах міста виконано робіт по утриманню та ремонту зелених насаджень загального користування на площі165,3 га за рахунок коштів міського бюджету на суму 23,012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(де 15,9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 – екологічний фонд) </w:t>
      </w:r>
      <w:r w:rsidRPr="00EC43AD">
        <w:rPr>
          <w:rFonts w:ascii="Arial" w:eastAsia="Times New Roman" w:hAnsi="Arial" w:cs="Arial"/>
          <w:i/>
          <w:iCs/>
          <w:sz w:val="21"/>
          <w:szCs w:val="21"/>
          <w:lang w:eastAsia="uk-UA"/>
        </w:rPr>
        <w:t>в тому числі зареєстровано кредиторську заборгованість в розмірі 3767,5 тис.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 Обсяг фінансування порівняно з 2013 роком було збільшено більш ніж на 9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., за рахунок чого були і збільшені обсяги робіт.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Виконані наступні обсяги робіт: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 посадка дерев та кущів – 1540 шт. (вул. Набережна ім. В.І. Леніна, вул. Набережна Перемоги,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просп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 Карла Маркса, вул. Шевченка, вул. Гоголя, та ін.);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 улаштування квітників – 13,6 тис. м</w:t>
      </w:r>
      <w:r w:rsidRPr="00EC43AD">
        <w:rPr>
          <w:rFonts w:ascii="Arial" w:eastAsia="Times New Roman" w:hAnsi="Arial" w:cs="Arial"/>
          <w:sz w:val="16"/>
          <w:szCs w:val="16"/>
          <w:vertAlign w:val="superscript"/>
          <w:lang w:eastAsia="uk-UA"/>
        </w:rPr>
        <w:t>2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> (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просп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К.Маркса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, вул.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Панікахи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, площа Жовтнева,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просп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Пушкіна,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просп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Кірова, площа Петровського,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просп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Гагаріна, вул. Набережна ім..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В.І.Леніна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, та ін.);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 улаштування і ремонт газонів – 23400 м</w:t>
      </w:r>
      <w:r w:rsidRPr="00EC43AD">
        <w:rPr>
          <w:rFonts w:ascii="Arial" w:eastAsia="Times New Roman" w:hAnsi="Arial" w:cs="Arial"/>
          <w:sz w:val="16"/>
          <w:szCs w:val="16"/>
          <w:vertAlign w:val="superscript"/>
          <w:lang w:eastAsia="uk-UA"/>
        </w:rPr>
        <w:t>2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>, (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просп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Гагаріна, вул. Маршала Малиновського, сквер біля Монумента  „Вічна Слава”, сквер Мечникова, Жовтнева площа, вул. ім..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В.І.Леніна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, вул. Набережна Заводська, та ін.);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 оформлення і утримання квіткових ваз на об’єктах міста – 786 ваз (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просп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К.Маркса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, вул. Леніна,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просп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Газети „Правда”,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пл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Петровського,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пл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Островського, вул. ім..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В.І.Леніна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, вул. Комсомольська, вул. Червона та ін.);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 виконано видалення сухостійних, аварійних та фаутних дерев по зверненням мешканців та на ліквідацію аварійних ситуацій - 1766 од.;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 проведено обрізку крон на 1717 деревах в зоні проходження мереж зовнішнього освітлення, по вулицях, де проходять маршрути руху громадського транспорту, та в зоні видимості дорожніх знаків.</w:t>
      </w:r>
    </w:p>
    <w:p w:rsidR="00EC43AD" w:rsidRPr="00EC43AD" w:rsidRDefault="00EC43AD" w:rsidP="00EC43A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b/>
          <w:bCs/>
          <w:sz w:val="21"/>
          <w:szCs w:val="21"/>
          <w:u w:val="single"/>
          <w:lang w:eastAsia="uk-UA"/>
        </w:rPr>
        <w:t>Гідроспоруди</w:t>
      </w:r>
    </w:p>
    <w:p w:rsidR="00EC43AD" w:rsidRPr="00EC43AD" w:rsidRDefault="00EC43AD" w:rsidP="00EC43A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>КП „Гідроспоруди” виконуються роботи по утриманню та ремонту мереж зливової каналізації. В 2014 році профінансовані зазначені роботи на суму 11,499 млн. грн. </w:t>
      </w:r>
      <w:r w:rsidRPr="00EC43AD">
        <w:rPr>
          <w:rFonts w:ascii="Arial" w:eastAsia="Times New Roman" w:hAnsi="Arial" w:cs="Arial"/>
          <w:i/>
          <w:iCs/>
          <w:sz w:val="21"/>
          <w:szCs w:val="21"/>
          <w:lang w:eastAsia="uk-UA"/>
        </w:rPr>
        <w:t>в тому числі зареєстровано кредиторську заборгованість на суму 1984,4 тис.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По утриманню та ремонту були виконані наступні роботи: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         очищено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дощоприймальних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колодязів (ДК) – 3080 од.;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         очищено оглядових колодязів (ОК) - 370 од.;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-         очищено зливових колекторів та підключень – 7733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п.м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         відремонтовано ДК  – 720 шт.;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-         відремонтовано ОК  – 65 шт.;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Також, виконані роботи по утриманню 9-ти фонтанів та 12 насосних станцій.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Обсяг фінансування і обсяги робіт в цілому були виконані на рівні попереднього року.</w:t>
      </w:r>
    </w:p>
    <w:p w:rsidR="00EC43AD" w:rsidRPr="00EC43AD" w:rsidRDefault="00EC43AD" w:rsidP="00EC43A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b/>
          <w:bCs/>
          <w:sz w:val="21"/>
          <w:szCs w:val="21"/>
          <w:u w:val="single"/>
          <w:lang w:eastAsia="uk-UA"/>
        </w:rPr>
        <w:t>Мости та шляхопроводи</w:t>
      </w:r>
    </w:p>
    <w:p w:rsidR="00EC43AD" w:rsidRPr="00EC43AD" w:rsidRDefault="00EC43AD" w:rsidP="00EC43A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>Поточний ремонт та утримання штучних споруд (мости та шляхопроводи) виконано на площі 65 тис.м</w:t>
      </w:r>
      <w:r w:rsidRPr="00EC43AD">
        <w:rPr>
          <w:rFonts w:ascii="Arial" w:eastAsia="Times New Roman" w:hAnsi="Arial" w:cs="Arial"/>
          <w:sz w:val="16"/>
          <w:szCs w:val="16"/>
          <w:vertAlign w:val="superscript"/>
          <w:lang w:eastAsia="uk-UA"/>
        </w:rPr>
        <w:t>2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, а це 18 мостів та шляхопроводів (Міст № 1, Міст № 2,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Кайдакський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міст, Південний міст, Самарський міст, Усть-Самарський міст, Київський шляхопровід, шляхопровід по вул. Коцюбинського, Євпаторійський шляхопровід та ін.), 4 підземних пішохідних переходи на пр.  Газети „Правда”, Запорізькому шосе, вул. Титова. Роботи виконано на суму 3,063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., </w:t>
      </w:r>
      <w:r w:rsidRPr="00EC43AD">
        <w:rPr>
          <w:rFonts w:ascii="Arial" w:eastAsia="Times New Roman" w:hAnsi="Arial" w:cs="Arial"/>
          <w:i/>
          <w:iCs/>
          <w:sz w:val="21"/>
          <w:szCs w:val="21"/>
          <w:lang w:eastAsia="uk-UA"/>
        </w:rPr>
        <w:t xml:space="preserve">в </w:t>
      </w:r>
      <w:r w:rsidRPr="00EC43AD">
        <w:rPr>
          <w:rFonts w:ascii="Arial" w:eastAsia="Times New Roman" w:hAnsi="Arial" w:cs="Arial"/>
          <w:i/>
          <w:iCs/>
          <w:sz w:val="21"/>
          <w:szCs w:val="21"/>
          <w:lang w:eastAsia="uk-UA"/>
        </w:rPr>
        <w:lastRenderedPageBreak/>
        <w:t>тому числі зареєстровано кредиторську заборгованість на суму 250,0 тис.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Обсяг фінансування і обсяги робіт в цілому були виконані на рівні попереднього року.</w:t>
      </w:r>
    </w:p>
    <w:p w:rsidR="00EC43AD" w:rsidRPr="00EC43AD" w:rsidRDefault="00EC43AD" w:rsidP="00EC43A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> </w:t>
      </w:r>
      <w:r w:rsidRPr="00EC43AD">
        <w:rPr>
          <w:rFonts w:ascii="Arial" w:eastAsia="Times New Roman" w:hAnsi="Arial" w:cs="Arial"/>
          <w:b/>
          <w:bCs/>
          <w:sz w:val="21"/>
          <w:szCs w:val="21"/>
          <w:u w:val="single"/>
          <w:lang w:eastAsia="uk-UA"/>
        </w:rPr>
        <w:t>Утримання кладовищ</w:t>
      </w:r>
    </w:p>
    <w:p w:rsidR="00EC43AD" w:rsidRPr="00EC43AD" w:rsidRDefault="00EC43AD" w:rsidP="00EC43A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На 24-ти міських кладовищах за рахунок коштів міського бюджету проведено утримання, благоустрій, організована охорона. Сума цих робіт склала 1,928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., </w:t>
      </w:r>
      <w:r w:rsidRPr="00EC43AD">
        <w:rPr>
          <w:rFonts w:ascii="Arial" w:eastAsia="Times New Roman" w:hAnsi="Arial" w:cs="Arial"/>
          <w:i/>
          <w:iCs/>
          <w:sz w:val="21"/>
          <w:szCs w:val="21"/>
          <w:lang w:eastAsia="uk-UA"/>
        </w:rPr>
        <w:t>в тому числі зареєстровано кредиторську заборгованість на суму 279,6 тис.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Обсяг фінансування і обсяги робіт в цілому були виконані на рівні попереднього року.</w:t>
      </w:r>
    </w:p>
    <w:p w:rsidR="00EC43AD" w:rsidRPr="00EC43AD" w:rsidRDefault="00EC43AD" w:rsidP="00EC43A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> </w:t>
      </w:r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Програма економічного і  соціального розвитку міста на 2014 рік</w:t>
      </w:r>
    </w:p>
    <w:p w:rsidR="00EC43AD" w:rsidRPr="00EC43AD" w:rsidRDefault="00EC43AD" w:rsidP="00EC43A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На   виконання  заходів  з  інженерного  захисту  території  міста Дніпропетровська  в 2014 році Програмою економічного і соціального розвитку міста  були виділені кошти у сумі 26609,734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тис.грн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 На 01.01.15р.  було виконано робіт на суму 9166,5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тис.грн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Для порівняння – в 2013 році було виділено 78,2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., роботи виконані на суму 40,4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млн.грн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По об’єкту «Інженерний захист території яру в районі вул. Десантної»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будівництво ведеться з вересня 2013 року, роботи  були розпочаті   з розчищення території балки і її схилів від сміття і рослинності,  вивезено більше 20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тис.тон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сміття. Для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уположення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схилів балки на верхній ділянці проведені роботи з розробки та планування ґрунтів з улаштуванням тераси. По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дну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балки для відводу підземних    вод   побудована дренажна система.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У 2014 році  для відводу поверхневих вод  були виконані роботи з будівництва водовідвідних лотків  в  нагірній частині яру на суму 1850,490 тис.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На даний час  по  даному  об’єкту  проводиться корегування проектно-кошторисної частини проекту в зв’язку з   зростанням цін на матеріали.  Після отримання  позитивного висновку відкоригованого проекту буде проведено тендерну процедуру для визначення замовника на продовження робіт по об’єкту «Інженерний захист території яру в районі вул. Десантної».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По об’єкту  «Реконструкція дренажно-паводкового каналу </w:t>
      </w:r>
      <w:proofErr w:type="spellStart"/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Гнилокиш</w:t>
      </w:r>
      <w:proofErr w:type="spellEnd"/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на ділянці від Донецького шосе до р. Дніпро у районі Центрального мосту»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будівництво  ведеться з  серпня 2013 року, були виконані роботи  з розчистки  каналу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Гнилокиш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на ділянці  від гирла р. Дніпро до пр. Воронцова та  роботи з укріплення  відкосів каналу 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габіоновими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  конструкціями.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 У 2014 році  по даному об’єкту  були виконані роботи з розчистки каналу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Гнилокиш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від Донецького шосе до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пров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 Кіровоградський та роботи з установки підпірної стінки з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габіонів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на суму 2993,610 тис.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</w:p>
    <w:p w:rsidR="00EC43AD" w:rsidRPr="00EC43AD" w:rsidRDefault="00EC43AD" w:rsidP="00EC43A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i/>
          <w:iCs/>
          <w:sz w:val="21"/>
          <w:szCs w:val="21"/>
          <w:u w:val="single"/>
          <w:lang w:eastAsia="uk-UA"/>
        </w:rPr>
        <w:t>По управлінню капітального будівництва:</w:t>
      </w:r>
    </w:p>
    <w:p w:rsidR="00EC43AD" w:rsidRPr="00EC43AD" w:rsidRDefault="00EC43AD" w:rsidP="00EC43A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1. Винос транзитного водопроводу з підвалів житлових будинків на ж/м Комунар та Парус у м. Дніпропетровську – реконструкція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Виконано робіт на суму  - 1 110, 009 тис. грн.; по житловому будинку  вул. Метробудівська, 5 виконано підключення внутрішньої системи водопроводу з вбудованим магістральним водоводом; по житловому будинку  вул.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Шелгунова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, 8 виконано роботи з улаштування зовнішнього водопроводу з улаштуванням водопровідних колодязів та установкою пожежних гідрантів; по житловому будинку Комунар, 5 виконано роботи з улаштування зовнішнього водопроводу з улаштуванням водопровідних колодязів та установкою пожежних гідрантів.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2. Автомобільна дорога на ділянці від вул. </w:t>
      </w:r>
      <w:proofErr w:type="spellStart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Кайдацький</w:t>
      </w:r>
      <w:proofErr w:type="spellEnd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 шлях до автомобільної дороги Київ–Луганськ–</w:t>
      </w:r>
      <w:proofErr w:type="spellStart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Ізварине</w:t>
      </w:r>
      <w:proofErr w:type="spellEnd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, м. Дніпропетровськ – будівництво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Виконано  роботи з охорони об’єкта – 67,701 тис.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3. Будівництво газопроводу на ж/м </w:t>
      </w:r>
      <w:proofErr w:type="spellStart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Ігрень</w:t>
      </w:r>
      <w:proofErr w:type="spellEnd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 по вул. Таврійській, </w:t>
      </w:r>
      <w:proofErr w:type="spellStart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Богородицькій</w:t>
      </w:r>
      <w:proofErr w:type="spellEnd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, Олешківській, Генерала Григоренка та </w:t>
      </w:r>
      <w:proofErr w:type="spellStart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пров</w:t>
      </w:r>
      <w:proofErr w:type="spellEnd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. Ягідному,       м. Дніпропетровськ (проектні роботи та будівництво)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Проведено експертизу проекту з питань охорони праці та кошторисної вартості будівництва, подовжено технічні умови ПАТ «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Дніпрогаз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» на загальну суму 5,780 тис.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4. Реконструкція Комунального позашкільного навчального закладу "Дитячо-юнацький центр "Штурм" Дніпропетровської міської ради по вул. Генерала Грушевого, 9 у м. Дніпропетровську (проектні роботи та реконструкція)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Виконано  роботи на суму 702,674 тис. грн.: розроблено проектно-кошторисну документацію та пройдено експертизу  (ДФ «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Укрдержбуд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-експертиза»).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lastRenderedPageBreak/>
        <w:t xml:space="preserve">5. Заходи для запобігання зсуву ґрунтового масиву на правому схилі Рибальської балки, у районі аварійного нежитлового  будинку № 90 по вул. </w:t>
      </w:r>
      <w:proofErr w:type="spellStart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Нахімова</w:t>
      </w:r>
      <w:proofErr w:type="spellEnd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 у м. Дніпропетровську, будівництво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Виконано  роботи на суму 247,704 тис. грн.: проведено геодезичні вишукування, розроблено проектно-кошторисну документацію та розглянуто проект в ДФ «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Укрдержбудекспертиза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» (із зауваженнями).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6. Заходи для запобігання зсуву ґрунтового масиву на правому схилі Рибальської балки, у районі аварійного нежитлового  будинку № 10 по вул. Гавриленка у м. Дніпропетровську, будівництво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Виконано  роботи на суму 233,641 тис. грн.: проведено геодезичні вишукування, оцінку технічного стану будівлі та розроблено проектно-кошторисну документацію.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7. Будівництво об’єкта інженерно-транспортної інфраструктури – площі приміського термінала ст. Дніпропетровськ у м. Дніпропетровську (проектні роботи)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Виконано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передпроектні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  роботи на суму 60,550 тис. грн.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8. Будівництво вулиці, від вул. </w:t>
      </w:r>
      <w:proofErr w:type="spellStart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Краснозаводської</w:t>
      </w:r>
      <w:proofErr w:type="spellEnd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 до вул. Набережної Заводської у м. Дніпропетровську (проектні роботи)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 xml:space="preserve">Виконано  роботи на суму 12,497 тис. грн.: проведено геодезичні вишукування для можливості виконання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передпроектних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 робіт.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9. Будівництво ділянки дороги третьої черги Південного обходу м. Дніпропетровська від вул. Гаванської до межі м. Дніпропетровська (проектно-вишукувальні роботи, компенсація)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Виконано  роботи на суму 832,139 тис. грн.: проведено інженерно-геодезичні та інженерно-геологічні вишукування по варіанту траси № 1.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10. Прибудова спортивної зали до </w:t>
      </w:r>
      <w:proofErr w:type="spellStart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Вальдорфської</w:t>
      </w:r>
      <w:proofErr w:type="spellEnd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 середньої загальноосвітньої школи по пр. Кірова,133, </w:t>
      </w:r>
      <w:proofErr w:type="spellStart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м.Дніпропетровськ</w:t>
      </w:r>
      <w:proofErr w:type="spellEnd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, будівництво (проектні роботи)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Виконано  роботи на суму 2,319 тис. грн.: подовжено дію технічних умов ПАТ «Укртелеком» (телефонія та радіо), ПАТ «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Дніпрогаз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».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11. Реконструкція Комунального закладу освіти "Середня загальноосвітня школа № 78" Дніпропетровської міської ради по вул. Тополиній, 37 у м. Дніпропетровську (проектні роботи)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Виконано  роботи на суму 150,311 тис. грн.: проведено обстеження технічного стану конструкцій будівлі, території та інженерних комунікацій.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 xml:space="preserve">12.Відновлення сприятливого гідрологічного режиму р. Шпакової (плесо Шпакове Верхнє) в АНД районі, </w:t>
      </w:r>
      <w:proofErr w:type="spellStart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м.Дніпропетровськ</w:t>
      </w:r>
      <w:proofErr w:type="spellEnd"/>
      <w:r w:rsidRPr="00EC43AD">
        <w:rPr>
          <w:rFonts w:ascii="Arial" w:eastAsia="Times New Roman" w:hAnsi="Arial" w:cs="Arial"/>
          <w:b/>
          <w:bCs/>
          <w:i/>
          <w:iCs/>
          <w:sz w:val="21"/>
          <w:szCs w:val="21"/>
          <w:lang w:eastAsia="uk-UA"/>
        </w:rPr>
        <w:t>, будівництво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  <w:t> Виконано  роботи на суму 10, 715 тис. грн.: проведено експертизу коригування проекту з перерахунком кошторисів (із зауваженнями).</w:t>
      </w:r>
    </w:p>
    <w:p w:rsidR="00EC43AD" w:rsidRPr="00EC43AD" w:rsidRDefault="00EC43AD" w:rsidP="00EC43AD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> </w:t>
      </w:r>
      <w:r w:rsidRPr="00EC43AD">
        <w:rPr>
          <w:rFonts w:ascii="Arial" w:eastAsia="Times New Roman" w:hAnsi="Arial" w:cs="Arial"/>
          <w:i/>
          <w:iCs/>
          <w:sz w:val="21"/>
          <w:szCs w:val="21"/>
          <w:u w:val="single"/>
          <w:lang w:eastAsia="uk-UA"/>
        </w:rPr>
        <w:t>По комунальному підприємству   “</w:t>
      </w:r>
      <w:proofErr w:type="spellStart"/>
      <w:r w:rsidRPr="00EC43AD">
        <w:rPr>
          <w:rFonts w:ascii="Arial" w:eastAsia="Times New Roman" w:hAnsi="Arial" w:cs="Arial"/>
          <w:i/>
          <w:iCs/>
          <w:sz w:val="21"/>
          <w:szCs w:val="21"/>
          <w:u w:val="single"/>
          <w:lang w:eastAsia="uk-UA"/>
        </w:rPr>
        <w:t>Дніпроводоканал</w:t>
      </w:r>
      <w:proofErr w:type="spellEnd"/>
      <w:r w:rsidRPr="00EC43AD">
        <w:rPr>
          <w:rFonts w:ascii="Arial" w:eastAsia="Times New Roman" w:hAnsi="Arial" w:cs="Arial"/>
          <w:i/>
          <w:iCs/>
          <w:sz w:val="21"/>
          <w:szCs w:val="21"/>
          <w:u w:val="single"/>
          <w:lang w:eastAsia="uk-UA"/>
        </w:rPr>
        <w:t>»:</w:t>
      </w:r>
    </w:p>
    <w:p w:rsidR="00EC43AD" w:rsidRPr="00EC43AD" w:rsidRDefault="00EC43AD" w:rsidP="00EC43AD">
      <w:pPr>
        <w:spacing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C43AD">
        <w:rPr>
          <w:rFonts w:ascii="Arial" w:eastAsia="Times New Roman" w:hAnsi="Arial" w:cs="Arial"/>
          <w:sz w:val="21"/>
          <w:szCs w:val="21"/>
          <w:lang w:eastAsia="uk-UA"/>
        </w:rPr>
        <w:t> </w:t>
      </w:r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По об’єкту «Реконструкція каналізаційного колектору Д 200мм на ділянці від вул. Херсонської до вул. Комсомольської по вул. Чкалова і вул. Леніна, м. Дніпропетровськ»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у 2014 році виконані роботи на суму  859,092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тис.грн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 xml:space="preserve">., де кредиторська заборгованість складає 266,319 </w:t>
      </w:r>
      <w:proofErr w:type="spellStart"/>
      <w:r w:rsidRPr="00EC43AD">
        <w:rPr>
          <w:rFonts w:ascii="Arial" w:eastAsia="Times New Roman" w:hAnsi="Arial" w:cs="Arial"/>
          <w:sz w:val="21"/>
          <w:szCs w:val="21"/>
          <w:lang w:eastAsia="uk-UA"/>
        </w:rPr>
        <w:t>тис.грн</w:t>
      </w:r>
      <w:proofErr w:type="spellEnd"/>
      <w:r w:rsidRPr="00EC43AD">
        <w:rPr>
          <w:rFonts w:ascii="Arial" w:eastAsia="Times New Roman" w:hAnsi="Arial" w:cs="Arial"/>
          <w:sz w:val="21"/>
          <w:szCs w:val="21"/>
          <w:lang w:eastAsia="uk-UA"/>
        </w:rPr>
        <w:t>.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 По об’єкту «Реконструкція каналізаційного колектору Д=300 мм по вул. Погребняка від </w:t>
      </w:r>
      <w:proofErr w:type="spellStart"/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ж.б</w:t>
      </w:r>
      <w:proofErr w:type="spellEnd"/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.  № 7 до вул. </w:t>
      </w:r>
      <w:proofErr w:type="spellStart"/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Гусенко</w:t>
      </w:r>
      <w:proofErr w:type="spellEnd"/>
      <w:r w:rsidRPr="00EC43AD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, 50»  </w:t>
      </w:r>
      <w:r w:rsidRPr="00EC43AD">
        <w:rPr>
          <w:rFonts w:ascii="Arial" w:eastAsia="Times New Roman" w:hAnsi="Arial" w:cs="Arial"/>
          <w:sz w:val="21"/>
          <w:szCs w:val="21"/>
          <w:lang w:eastAsia="uk-UA"/>
        </w:rPr>
        <w:t>у 2014 році  проведено експертизу проекту на суму 27,236 тис. грн.</w:t>
      </w:r>
    </w:p>
    <w:p w:rsidR="00305202" w:rsidRPr="00EC43AD" w:rsidRDefault="00305202"/>
    <w:sectPr w:rsidR="00305202" w:rsidRPr="00EC4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AD"/>
    <w:rsid w:val="00305202"/>
    <w:rsid w:val="00E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56FE"/>
  <w15:chartTrackingRefBased/>
  <w15:docId w15:val="{B2620F56-4CAF-4290-B951-CB6A7B4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3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-label">
    <w:name w:val="at-label"/>
    <w:basedOn w:val="a0"/>
    <w:rsid w:val="00EC43AD"/>
  </w:style>
  <w:style w:type="paragraph" w:styleId="a3">
    <w:name w:val="Normal (Web)"/>
    <w:basedOn w:val="a"/>
    <w:uiPriority w:val="99"/>
    <w:semiHidden/>
    <w:unhideWhenUsed/>
    <w:rsid w:val="00EC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43AD"/>
    <w:rPr>
      <w:b/>
      <w:bCs/>
    </w:rPr>
  </w:style>
  <w:style w:type="character" w:styleId="a5">
    <w:name w:val="Emphasis"/>
    <w:basedOn w:val="a0"/>
    <w:uiPriority w:val="20"/>
    <w:qFormat/>
    <w:rsid w:val="00EC4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8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8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9557</Words>
  <Characters>5448</Characters>
  <Application>Microsoft Office Word</Application>
  <DocSecurity>0</DocSecurity>
  <Lines>45</Lines>
  <Paragraphs>29</Paragraphs>
  <ScaleCrop>false</ScaleCrop>
  <Company>Дніпровська міська рада</Company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2021-04-02T13:19:00Z</dcterms:created>
  <dcterms:modified xsi:type="dcterms:W3CDTF">2021-04-02T13:21:00Z</dcterms:modified>
</cp:coreProperties>
</file>