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4F647B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6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.01.2021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F647B" w:rsidRPr="003250A8" w:rsidRDefault="004F647B" w:rsidP="004F647B">
      <w:pPr>
        <w:jc w:val="center"/>
        <w:rPr>
          <w:b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Pr="003250A8">
        <w:rPr>
          <w:b/>
          <w:lang w:val="uk-UA"/>
        </w:rPr>
        <w:t>Комплексне харчування мешканців м. Дніпро пенсійного віку під час проведення заїздів (</w:t>
      </w:r>
      <w:r w:rsidRPr="003250A8">
        <w:rPr>
          <w:b/>
          <w:lang w:val="uk-UA"/>
        </w:rPr>
        <w:t>Ідентифікатор закупівлі</w:t>
      </w:r>
      <w:r w:rsidRPr="003250A8">
        <w:rPr>
          <w:b/>
          <w:lang w:val="uk-UA"/>
        </w:rPr>
        <w:t xml:space="preserve"> </w:t>
      </w:r>
      <w:bookmarkStart w:id="0" w:name="_GoBack"/>
      <w:r w:rsidRPr="003250A8">
        <w:rPr>
          <w:b/>
          <w:lang w:val="uk-UA"/>
        </w:rPr>
        <w:t>UA-2021-01-20-004227-c</w:t>
      </w:r>
      <w:bookmarkEnd w:id="0"/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>Закупівля проводиться відповідно до</w:t>
      </w:r>
      <w:r w:rsidRPr="004F647B">
        <w:rPr>
          <w:lang w:val="uk-UA"/>
        </w:rPr>
        <w:t xml:space="preserve"> положен</w:t>
      </w:r>
      <w:r>
        <w:rPr>
          <w:lang w:val="uk-UA"/>
        </w:rPr>
        <w:t>ь</w:t>
      </w:r>
      <w:r w:rsidRPr="004F647B">
        <w:rPr>
          <w:lang w:val="uk-UA"/>
        </w:rPr>
        <w:t xml:space="preserve"> абз.5 п. 3 ч. 2 ст. 40 Закону України «Про публічні закупівлі»</w:t>
      </w:r>
      <w:r>
        <w:rPr>
          <w:lang w:val="uk-UA"/>
        </w:rPr>
        <w:t xml:space="preserve">. </w:t>
      </w:r>
    </w:p>
    <w:p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Pr="003250A8">
        <w:rPr>
          <w:lang w:val="uk-UA"/>
        </w:rPr>
        <w:t>20.01.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п</w:t>
      </w:r>
      <w:r w:rsidRPr="003250A8">
        <w:rPr>
          <w:lang w:val="uk-UA"/>
        </w:rPr>
        <w:t>ереговорна процедура (скорочена)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FE7EE9">
        <w:t xml:space="preserve">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-</w:t>
      </w:r>
      <w:r w:rsidR="00FE7EE9" w:rsidRPr="00FE7EE9">
        <w:rPr>
          <w:lang w:val="uk-UA"/>
        </w:rPr>
        <w:t>756000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:rsidR="003250A8" w:rsidRPr="004F647B" w:rsidRDefault="003250A8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Очікувана вартість предмета даної закупівлі розрахована згідно з вимогами </w:t>
      </w:r>
      <w:r w:rsidRPr="003250A8">
        <w:rPr>
          <w:lang w:val="uk-UA"/>
        </w:rPr>
        <w:t>абз.5 п. 3 ч. 2 ст. 40 Закону України «Про публічні закупівлі»</w:t>
      </w:r>
      <w:r w:rsidR="00FE7EE9">
        <w:rPr>
          <w:lang w:val="uk-UA"/>
        </w:rPr>
        <w:t>, в обсязі, що</w:t>
      </w:r>
      <w:r>
        <w:rPr>
          <w:lang w:val="uk-UA"/>
        </w:rPr>
        <w:t xml:space="preserve"> </w:t>
      </w:r>
      <w:r w:rsidR="00FE7EE9" w:rsidRPr="00FE7EE9">
        <w:rPr>
          <w:lang w:val="uk-UA"/>
        </w:rPr>
        <w:t>не перевищує 20 відсотків від очікуваної ва</w:t>
      </w:r>
      <w:r w:rsidR="00FE7EE9">
        <w:rPr>
          <w:lang w:val="uk-UA"/>
        </w:rPr>
        <w:t>ртості тендера, що оскаржується.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3250A8"/>
    <w:rsid w:val="004F647B"/>
    <w:rsid w:val="00620779"/>
    <w:rsid w:val="006D2607"/>
    <w:rsid w:val="008A20C1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11EB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2021-01-26T12:41:00Z</cp:lastPrinted>
  <dcterms:created xsi:type="dcterms:W3CDTF">2021-01-26T10:18:00Z</dcterms:created>
  <dcterms:modified xsi:type="dcterms:W3CDTF">2021-01-26T12:48:00Z</dcterms:modified>
</cp:coreProperties>
</file>