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28" w:rsidRPr="00853E48" w:rsidRDefault="00853E48" w:rsidP="00853E48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підсумки проведення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конференції з представниками </w:t>
      </w:r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>Львівськ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регуляторн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>хаб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</w:p>
    <w:p w:rsidR="00A36428" w:rsidRDefault="00A36428" w:rsidP="0085382D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428" w:rsidRPr="00724C5C" w:rsidRDefault="00724C5C" w:rsidP="00A3642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36428"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рамках підписаного Меморандуму про співпрацю між Дніпровською міською радою та </w:t>
      </w:r>
      <w:r w:rsidR="00A36428"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Львівським регуляторним </w:t>
      </w:r>
      <w:proofErr w:type="spellStart"/>
      <w:r w:rsidR="00A36428"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>хабом</w:t>
      </w:r>
      <w:proofErr w:type="spellEnd"/>
      <w:r w:rsidR="00A36428" w:rsidRPr="00724C5C">
        <w:rPr>
          <w:rFonts w:ascii="Times New Roman" w:hAnsi="Times New Roman" w:cs="Times New Roman"/>
          <w:sz w:val="28"/>
          <w:szCs w:val="28"/>
        </w:rPr>
        <w:t xml:space="preserve"> 18.04.2024 проведено онлайн </w:t>
      </w:r>
      <w:r w:rsidR="00A36428"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презентацію та обговорення модельних регуляторних актів, розроблених командою Львівського регуляторного </w:t>
      </w:r>
      <w:proofErr w:type="spellStart"/>
      <w:r w:rsidR="00A36428"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>хабу</w:t>
      </w:r>
      <w:proofErr w:type="spellEnd"/>
      <w:r w:rsidR="00A36428"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36428" w:rsidRPr="00724C5C" w:rsidRDefault="00A36428" w:rsidP="005C297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C5C">
        <w:rPr>
          <w:rFonts w:ascii="Times New Roman" w:hAnsi="Times New Roman" w:cs="Times New Roman"/>
          <w:sz w:val="28"/>
          <w:szCs w:val="28"/>
        </w:rPr>
        <w:t xml:space="preserve">У цьому заході, який організовано </w:t>
      </w:r>
      <w:r w:rsidR="007B020B">
        <w:rPr>
          <w:rFonts w:ascii="Times New Roman" w:hAnsi="Times New Roman" w:cs="Times New Roman"/>
          <w:sz w:val="28"/>
          <w:szCs w:val="28"/>
        </w:rPr>
        <w:t>у рамках</w:t>
      </w:r>
      <w:r w:rsidRPr="00724C5C">
        <w:rPr>
          <w:rFonts w:ascii="Times New Roman" w:hAnsi="Times New Roman" w:cs="Times New Roman"/>
          <w:sz w:val="28"/>
          <w:szCs w:val="28"/>
        </w:rPr>
        <w:t xml:space="preserve"> реалізації </w:t>
      </w:r>
      <w:proofErr w:type="spellStart"/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проєкту</w:t>
      </w:r>
      <w:proofErr w:type="spellEnd"/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724C5C">
        <w:rPr>
          <w:rStyle w:val="object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724C5C">
        <w:rPr>
          <w:rStyle w:val="object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"https://lrhub.org.ua/recovery-rehuliatorni-instrumenty-dlia-ekonomichnoi-vidbudovy/" \t "_blank" </w:instrText>
      </w:r>
      <w:r w:rsidRPr="00724C5C">
        <w:rPr>
          <w:rStyle w:val="object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724C5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REcovery</w:t>
      </w:r>
      <w:proofErr w:type="spellEnd"/>
      <w:r w:rsidRPr="00724C5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: «Регуляторні інструменти для економічної відбудови</w:t>
      </w:r>
      <w:r w:rsidRPr="00724C5C">
        <w:rPr>
          <w:rStyle w:val="object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724C5C">
        <w:rPr>
          <w:rStyle w:val="object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4C5C"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підтримки </w:t>
      </w:r>
      <w:proofErr w:type="spellStart"/>
      <w:r w:rsidR="00724C5C"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Антикорупцій</w:t>
      </w:r>
      <w:r w:rsidR="007B020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24C5C"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</w:t>
      </w:r>
      <w:proofErr w:type="spellEnd"/>
      <w:r w:rsidR="00724C5C"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ініціативи ЄС (EUACI)</w:t>
      </w:r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взяли участь </w:t>
      </w:r>
      <w:r w:rsidRPr="00724C5C">
        <w:rPr>
          <w:rFonts w:ascii="Times New Roman" w:hAnsi="Times New Roman" w:cs="Times New Roman"/>
          <w:sz w:val="28"/>
          <w:szCs w:val="28"/>
        </w:rPr>
        <w:t xml:space="preserve">представники </w:t>
      </w:r>
      <w:r w:rsidR="007B020B"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регуляторної політики та розвитку підприємництва департаменту правового забезпечення Дніпровської міської ради</w:t>
      </w:r>
      <w:r w:rsidR="007B020B">
        <w:rPr>
          <w:rFonts w:ascii="Times New Roman" w:hAnsi="Times New Roman" w:cs="Times New Roman"/>
          <w:sz w:val="28"/>
          <w:szCs w:val="28"/>
        </w:rPr>
        <w:t xml:space="preserve">, а також фахівці </w:t>
      </w:r>
      <w:r w:rsidRPr="00724C5C">
        <w:rPr>
          <w:rFonts w:ascii="Times New Roman" w:hAnsi="Times New Roman" w:cs="Times New Roman"/>
          <w:sz w:val="28"/>
          <w:szCs w:val="28"/>
        </w:rPr>
        <w:t xml:space="preserve">виконавчих органів міської ради </w:t>
      </w:r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>за напрямками діяльності</w:t>
      </w:r>
      <w:r w:rsidR="00853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</w:t>
      </w:r>
      <w:r w:rsidR="00853E48" w:rsidRPr="00853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департаменту торгівлі та реклами Дніпровської міської ради</w:t>
      </w:r>
      <w:r w:rsidR="0085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="00853E48" w:rsidRPr="00853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департаменту транспорту та транспортної інфрастру</w:t>
      </w:r>
      <w:r w:rsidR="0085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ктури Дніпровської міської ради, </w:t>
      </w:r>
      <w:r w:rsidR="00853E48" w:rsidRPr="00853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Комунального підприємства </w:t>
      </w:r>
      <w:r w:rsidR="0085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Дніпровської </w:t>
      </w:r>
      <w:r w:rsidR="00853E48" w:rsidRPr="008538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міської ради «Дніпровськ</w:t>
      </w:r>
      <w:r w:rsidR="00853E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 активи».</w:t>
      </w:r>
    </w:p>
    <w:p w:rsidR="00A36428" w:rsidRPr="00724C5C" w:rsidRDefault="00A36428" w:rsidP="00A3642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Командою </w:t>
      </w:r>
      <w:r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Львівського регуляторного </w:t>
      </w:r>
      <w:proofErr w:type="spellStart"/>
      <w:r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>хабу</w:t>
      </w:r>
      <w:proofErr w:type="spellEnd"/>
      <w:r w:rsidRPr="00724C5C">
        <w:rPr>
          <w:rFonts w:ascii="Times New Roman" w:hAnsi="Times New Roman" w:cs="Times New Roman"/>
          <w:sz w:val="28"/>
          <w:szCs w:val="28"/>
        </w:rPr>
        <w:t xml:space="preserve"> проведено презентацію </w:t>
      </w:r>
      <w:r w:rsidRPr="00724C5C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модельних регуляторних актів у визначених сферах, а саме:</w:t>
      </w:r>
    </w:p>
    <w:p w:rsidR="00F43720" w:rsidRPr="00724C5C" w:rsidRDefault="0021267A" w:rsidP="0085382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F43649">
        <w:rPr>
          <w:color w:val="000000"/>
          <w:sz w:val="28"/>
          <w:szCs w:val="28"/>
        </w:rPr>
        <w:t>–</w:t>
      </w:r>
      <w:r w:rsidR="00F43720" w:rsidRPr="0072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Рішення про затвердження Положення про оренду окремих конструктивних елементів благоустрою комунальної власності на розміщення тимчасових споруд/мобільної торгівлі для провадже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ння підприємницької діяльності;</w:t>
      </w:r>
    </w:p>
    <w:p w:rsidR="00F43720" w:rsidRPr="00724C5C" w:rsidRDefault="0021267A" w:rsidP="0085382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F43649">
        <w:rPr>
          <w:color w:val="000000"/>
          <w:sz w:val="28"/>
          <w:szCs w:val="28"/>
        </w:rPr>
        <w:t>–</w:t>
      </w:r>
      <w:r w:rsidR="00F43720" w:rsidRPr="0072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Регулювання порядку розміщення відкритих літніх майданчиків біля </w:t>
      </w:r>
      <w:proofErr w:type="spellStart"/>
      <w:r w:rsidR="00F43720" w:rsidRPr="0072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об’єк</w:t>
      </w:r>
      <w:r w:rsidR="0085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</w:t>
      </w:r>
      <w:r w:rsidR="00F43720" w:rsidRPr="0072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тів</w:t>
      </w:r>
      <w:proofErr w:type="spellEnd"/>
      <w:r w:rsidR="00F43720" w:rsidRPr="0072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ресторанного господарства (Рішення про затвердження Порядку розміщення відкритих літніх майданчиків біля об’єктів ресторанного господарства</w:t>
      </w:r>
      <w:r w:rsidR="0085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:rsidR="000321EF" w:rsidRPr="00724C5C" w:rsidRDefault="0021267A" w:rsidP="0085382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3649">
        <w:rPr>
          <w:color w:val="000000"/>
          <w:sz w:val="28"/>
          <w:szCs w:val="28"/>
        </w:rPr>
        <w:t>–</w:t>
      </w:r>
      <w:r w:rsidR="000321EF" w:rsidRPr="0072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Регулювання сфери паркування транспортних засобів у громадах: Правила паркування транспортних засобів. </w:t>
      </w:r>
      <w:r w:rsidR="000321EF" w:rsidRPr="00724C5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проведення конкурсу з визначення операторів паркування.</w:t>
      </w:r>
    </w:p>
    <w:p w:rsidR="007B020B" w:rsidRDefault="007B020B" w:rsidP="007B0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 питань під час обговорення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модельних регуляторних актів </w:t>
      </w:r>
    </w:p>
    <w:p w:rsidR="007B020B" w:rsidRDefault="007B020B" w:rsidP="007B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допоможе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профільним департаментам під час розробки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регуляторних актів у визначених сферах</w:t>
      </w:r>
      <w:r w:rsidRPr="007B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мінімізувати </w:t>
      </w:r>
      <w:r w:rsidR="00853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регуляторне навантаження на підприємницьке середовище</w:t>
      </w:r>
      <w:r w:rsidRPr="007B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53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зменшити </w:t>
      </w:r>
      <w:r w:rsidRPr="007B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адміністративне навантаження та розробити регулювання, які створюватимут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</w:t>
      </w:r>
      <w:r w:rsidR="00853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та прозорі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правила гри для бізнесу</w:t>
      </w:r>
      <w:r w:rsidR="002126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допоможуть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53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зробити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B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регуляторні інструменти</w:t>
      </w:r>
      <w:r w:rsidR="00853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B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корисними </w:t>
      </w:r>
      <w:r w:rsidR="00853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бізнесу </w:t>
      </w:r>
      <w:r w:rsidRPr="007B02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важливими для економічного розвитку.</w:t>
      </w:r>
    </w:p>
    <w:p w:rsidR="0087777A" w:rsidRDefault="0087777A" w:rsidP="007B0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7777A" w:rsidRPr="00880262" w:rsidRDefault="0087777A" w:rsidP="007B020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uk-UA"/>
        </w:rPr>
      </w:pPr>
    </w:p>
    <w:p w:rsidR="0087777A" w:rsidRDefault="0087777A" w:rsidP="0085382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</w:p>
    <w:p w:rsidR="0087777A" w:rsidRDefault="0087777A" w:rsidP="0087777A">
      <w:pPr>
        <w:shd w:val="clear" w:color="auto" w:fill="FFFFFF"/>
        <w:spacing w:after="0" w:line="240" w:lineRule="auto"/>
        <w:ind w:left="212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Управління регуляторної політики  та</w:t>
      </w:r>
    </w:p>
    <w:p w:rsidR="0087777A" w:rsidRDefault="0087777A" w:rsidP="0087777A">
      <w:pPr>
        <w:shd w:val="clear" w:color="auto" w:fill="FFFFFF"/>
        <w:spacing w:after="0" w:line="240" w:lineRule="auto"/>
        <w:ind w:left="212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розвитку підприємництва департаменту</w:t>
      </w:r>
    </w:p>
    <w:p w:rsidR="000321EF" w:rsidRPr="00724C5C" w:rsidRDefault="0087777A" w:rsidP="0087777A">
      <w:pPr>
        <w:shd w:val="clear" w:color="auto" w:fill="FFFFFF"/>
        <w:spacing w:after="0" w:line="240" w:lineRule="auto"/>
        <w:ind w:left="1416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 xml:space="preserve"> правового забезпечення Дніпровської міської ради </w:t>
      </w:r>
    </w:p>
    <w:sectPr w:rsidR="000321EF" w:rsidRPr="00724C5C" w:rsidSect="00E146E5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6826"/>
    <w:multiLevelType w:val="hybridMultilevel"/>
    <w:tmpl w:val="C1461C9E"/>
    <w:lvl w:ilvl="0" w:tplc="18C240E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CD"/>
    <w:rsid w:val="000321EF"/>
    <w:rsid w:val="001379A3"/>
    <w:rsid w:val="0021267A"/>
    <w:rsid w:val="005C2973"/>
    <w:rsid w:val="00670ACD"/>
    <w:rsid w:val="00703507"/>
    <w:rsid w:val="00724C5C"/>
    <w:rsid w:val="007B020B"/>
    <w:rsid w:val="0085382D"/>
    <w:rsid w:val="00853E48"/>
    <w:rsid w:val="0087777A"/>
    <w:rsid w:val="00A36428"/>
    <w:rsid w:val="00DA633E"/>
    <w:rsid w:val="00DE3E29"/>
    <w:rsid w:val="00E146E5"/>
    <w:rsid w:val="00F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4652-4A24-4432-988C-CADB57EC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82D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A36428"/>
    <w:rPr>
      <w:color w:val="0000FF"/>
      <w:u w:val="single"/>
    </w:rPr>
  </w:style>
  <w:style w:type="character" w:customStyle="1" w:styleId="object">
    <w:name w:val="object"/>
    <w:rsid w:val="00A3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Валеріївна Журавльова</dc:creator>
  <cp:keywords/>
  <dc:description/>
  <cp:lastModifiedBy>Оксана Паєцик</cp:lastModifiedBy>
  <cp:revision>2</cp:revision>
  <cp:lastPrinted>2024-04-15T07:28:00Z</cp:lastPrinted>
  <dcterms:created xsi:type="dcterms:W3CDTF">2024-04-19T10:08:00Z</dcterms:created>
  <dcterms:modified xsi:type="dcterms:W3CDTF">2024-04-19T10:08:00Z</dcterms:modified>
</cp:coreProperties>
</file>