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18" w:rsidRPr="00FF0F18" w:rsidRDefault="00FF0F18" w:rsidP="00FF0F18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bookmarkStart w:id="0" w:name="_GoBack"/>
      <w:r w:rsidRPr="00FF0F18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ДОПОВІДЬ ДИРЕКТОРА ФІНАНСОВО-ЕКОНОМІЧНОГО ДЕПАРТАМЕНТУ МІСЬКОЇ РАДИ І.П.ДРОБІТЬКО НА ПУБЛІЧНОМУ ПРЕДСТАВЛЕННІ ЗВІТУ ПРО ВИКОНАННЯ МІСЬКОГО БЮДЖЕТУ ЗА 2014 РІК</w:t>
      </w:r>
    </w:p>
    <w:bookmarkEnd w:id="0"/>
    <w:p w:rsidR="00FF0F18" w:rsidRPr="00FF0F18" w:rsidRDefault="00FF0F18" w:rsidP="00FF0F18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proofErr w:type="spellStart"/>
      <w:r w:rsidRPr="00FF0F18">
        <w:rPr>
          <w:rFonts w:ascii="Helvetica" w:eastAsia="Times New Roman" w:hAnsi="Helvetica" w:cs="Arial"/>
          <w:sz w:val="16"/>
          <w:szCs w:val="16"/>
          <w:lang w:eastAsia="uk-UA"/>
        </w:rPr>
        <w:t>FacebookTwitter</w:t>
      </w:r>
      <w:proofErr w:type="spellEnd"/>
    </w:p>
    <w:p w:rsidR="00FF0F18" w:rsidRPr="00FF0F18" w:rsidRDefault="00FF0F18" w:rsidP="00FF0F18">
      <w:pPr>
        <w:spacing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FF0F18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Загальний обсяг доходів міського бюджету з урахуванням трансфертів з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вищестоящих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бюджетів за 2014 рік становив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 млрд.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326 млн. грн.,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що становить 89,4% до плану. У порівнянні з 2013 роком доходи збільшились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15,4%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445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До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загального фонду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міського бюджету надійшло власних доходів у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 млрд. 130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а з урахуванням  трансфертів, отриманих з бюджетів вищого рівня,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2 млрд. 170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що становить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99,1%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та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97,9%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відповідно до плану. Недоотримано власних доходів у сумі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10,8 млн. грн.,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а з урахуванням трансфертів –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47,1 млн. грн.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У порівнянні з 2013 роком надходження власних доходів загального фонду міського бюджету зменшилися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3,7% (43,7 млн. грн.).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Скорочення доходів відбулося, в основному, за рахунок зменшення платежів по податку на доходи фізичних осіб –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1,8% (15,0 млн. грн.),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податку на прибуток підприємств комунальної власності –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37,3% (20,0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.),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платі за землю –на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1,3 % (3,5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.),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частині чистого прибутку (доходу) комунальних унітарних підприємств та їх об’єднань, що вилучається до відповідного місцевого бюджету – в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2,8 рази (6,2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Основні суми не виконання планових призначень допущені по: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податку на доходи фізичних осіб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8,6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(1,0%)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, оскільки не вдалося досягти запланованого росту надходжень, а також через наявність податкового боргу до міського бюджету станом на 01.01.2015 у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2,4 млн. грн.,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наявність заборгованості по заробітній платі працюючим на госпрозрахункових підприємствах і організаціях міста (за станом 01.01.2015 у сумі 68,7 млн. грн.) тощо.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Крім того, у порівнянні з 2013 роком спостерігається зменшення сплати податку на доходи фізичних осіб великими підприємствами: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ТОВ «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Комфі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Трейд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»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скорочення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 3,6 рази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(в 2013 році – 13,3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в 2014 році – 3,7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.),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ВО «Південний машинобудівний завод ім. О.М. Макарова»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1,5 рази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(в 2013 році – 19,0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в 2014 році – 12,7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.), відокремлений структурний підрозділ «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Вагонне депо Нижньодніпровськ-Вузол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» ДП Придніпровська залізниця –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3,1 рази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(в 2013 році – 3,1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., в 2014 році – 984,4 тис. грн.), ПАТ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«А-Банк»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1,4 рази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(в 2013 році – 4,8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в 2014 році – 3,4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.), ВАТ «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Інтерпайп НТЗ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» –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7,8%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(в 2013 році – 22,4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в 2014 році – 20,7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.), ПАТ «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Веста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-Дніпро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» –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 34,6 рази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(в 2013 році – 1,7 млн. грн., в 2014 році – 48,1 тис. грн.) тощо;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 по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податку на прибуток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підприємств та фінансових установ комунальної власності –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5,0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(13,1%)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з причини погіршення результатів фінансово-господарської діяльності підприємств, що надають житлово-комунальні послуги населенню, наявності податкового боргу на 01.01.2015 в сумі 1,1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та ін.;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 по </w:t>
      </w:r>
      <w:proofErr w:type="spellStart"/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платежах</w:t>
      </w:r>
      <w:proofErr w:type="spellEnd"/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плати за землю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-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1,0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(0,4%)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через наявність податкового боргу станом на 01.01.2015 – 4,2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тощо;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 по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адміністративних штрафах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та інших санкціях – на 258,8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тис.грн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(62,4%) через збільшення обсягу штрафів з мінімальним розміром, які накладаються адміністративною комісією при виконкомі міської ради.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До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спеціального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фонду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міського бюджету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надійшло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доходів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з урахуванням трансфертів з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вищестоящих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бюджетів у загальній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 млрд 041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.,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що становить 69,0% до плану.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Бюджет розвитку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при запланованих на 2014 рік обсягах надходжень доходів у сумі 298,1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виконано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113,5%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(надійшло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338,3 млн. грн.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), у тому числі: по єдиному податку – на 116,1% (надійшло 313,3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.), по надходженнях від продажу землі – на 18,0% (2,2 млн. грн.), по відчуженню майна, що перебуває у комунальній власності, – на 197,9% (8,1 млн. грн.), по надходженнях коштів пайової участі у розвитку інфраструктури населеного пункту – на 131,1% (14,4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.), по податку на нерухоме майно, відмінне від земельної ділянки – на 22,9%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lastRenderedPageBreak/>
        <w:t>(0,2 млн. грн.).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Збору за першу реєстрацію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транспортного засобу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надійшло у сумі 3,1 млн. грн., або 46,6% до плану,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екологічного податку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надійшло у сумі 25,2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 при плані 27,8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(90,7%).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До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цільового фонду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міської ради при плані на рік 3,6 млн. грн. надійшло коштів у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3,9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або 109,6% до плану.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Загальний обсяг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видатків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міського бюджету, з урахуванням трансфертів із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вищестоящих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бюджетів, за 2014 рік становив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2 млрд. 839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 (69,7 % до плану), з них по загальному фонду –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2 млрд. 151 млн. грн.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(92,6 % до плану) та по спеціальному фонду –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689 млн. грн.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(39,4 % до плану).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Протягом 2014 року у першочерговому порядку забезпечувалося фінансування захищених видатків і із загального фонду міського бюджету на оплату цих витрат було спрямовано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509 млн. грн.,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що становить 90,4 % до плану, з них: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386,9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 - на виплату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заробітної плати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працівникам бюджетної сфери (виплата заробітної плати працівникам здійснювалась своєчасно без утворення заборгованості);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39,7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 - на оплату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енергоносіїв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, у тому числі на оплату теплопостачання – 21,6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водопостачання – 1,1 млн. грн., електричної енергії – 13,2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., природного газу – 3,8 млн. грн.;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17,9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 - на придбання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медикаментів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бюджетними установами і закладами;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8,2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- на придбання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продуктів харчування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бюджетними установами і закладами.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Найбільшу питому вагу у загальному обсязі видатків міського бюджету становили видатки 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утримання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установ та закладів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соціально-культурної сфери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та на соціальний захист населення –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51,6 %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 млрд. 466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.), з них видатки по галузях: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943,9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(33,2%)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направлено на соціальний захист та соціального забезпечення, в тому числі і через надання субвенцій бюджетам районів у місті на виконання соціальних програм;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227,9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(8,0%)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направлено на утримання 12 центрів первинної медико-санітарної допомоги та міського Центру здоров’я;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114,1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(4,0%)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– направлено на утримання галузі освіта;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124,2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(4,3%)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– направлено на утримання 2 бібліотечних систем, 5 клубних закладів, 22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школ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естетичного виховання, групи технагляду при управлінні культури та мистецтв міської ради та  надання фінансової підтримки 15 установам культури, а саме: 5 театрам, 6 паркам культури та відпочинку, КЗК «Вокально-хореографічний ансамбль «Юність Дніпра», КЗК «Дніпропетровський Будинок мистецтв», КЗК «Культурно-дозвільний центр «Іскра», КЗК «Дніпропетровський планетарій»;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56,2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 (1,98%)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  - направлено на утримання та навчально-тренувальну роботу 20 дитячо-юнацьких спортивних шкіл – 36,3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., на надання фінансової підтримки 17 установам фізкультурної спрямованості, а саме: 2 спортивним спорудам (КП «Водно-спортивний комбінат» та КП «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Оздоровчо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-спортивний комплекс «Метал») – 4,7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.; 5 комунальним підприємствам «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Шашково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-шаховий клуб ім.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Уріха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», «Спорт-Дніпро», «Волейбольний клуб «Дніпро», «Молодь-спорт», «Спорт-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Інвест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» –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3,9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.; 9 дитячо-юнацьким спортивним школам, які підпорядковані громадським організаціям – 8,1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На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житлово-комунальне господарство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спрямовано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643,1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., що становить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22,6%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від загального обсягу видатків, з них: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414,1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- на погашення заборгованості з різниці в тарифах на теплову енергію, послуг з централізованого водопостачання та водовідведення, що вироблялися, транспортувалися та постачалися населенню (за рахунок коштів субвенції з державного бюджету);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125,7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 - на благоустрій міста.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На виконання заходів Програми розвитку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транспортного комплексу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у місті направлено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195,4 млн. грн.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(7,2% від загальної суми видатків).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У 2014 році за рахунок коштів міського бюджету було перераховано субвенцій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обласному бюджету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 на: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виконання інвестиційних проектів - будівництво першої черги метрополітену в м. Дніпропетровську (у тому числі на оплату за виконані роботи минулих років) – 21,9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- виконання доручень виборців депутатами міської ради – у сумі 4,1 млн. грн.;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 капітальний ремонт ділянки магістральних трубопроводів КП ДОР «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Аульський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водовід» ПК 130-ПК 132 – 2,4 млн. грн.;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lastRenderedPageBreak/>
        <w:t>- створення матеріальних резервів для запобігання та ліквідації надзвичайних ситуацій техногенного і природного характеру та їх наслідків – 2,1 млн. грн.;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оснащення Єдиної регіональної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оперативно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-диспетчерської служби у Дніпропетровській області – 2,0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- виконання заходів Програми реформування і розвитку житлово-комунального господарства Дніпропетровської області на 2010-2014 роки – 0,5 млн. грн.;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виконання заходів з відновлення ліфтового господарства – 0,3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Протягом 2014 року перераховано коштів до державного бюджету (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вилучення)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у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33,9 млн. грн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., що становить 99,7 % до планових призначень, надано бюджетам районів у місті дотацію вирівнювання у сумі 142,7 млн. грн. (100,0 % до плану), іншу додаткову дотацію –у сумі 34,2 млн. грн. (96,9 % до плану).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Через не проведення територіальними органами Державної казначейської служби України у Дніпропетровській області платежів у повному обсязі до наданих розпорядниками бюджетних коштів платіжних  доручень, при наявності коштів на рахунках розпорядників, на 01.01.2015 утворилась </w:t>
      </w:r>
      <w:r w:rsidRPr="00FF0F18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заборгованість</w:t>
      </w:r>
      <w:r w:rsidRPr="00FF0F18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,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t> що зареєстрована в органах Державної казначейської служби по зобов’язаннях бюджету, у загальній сумі </w:t>
      </w:r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175,2 </w:t>
      </w:r>
      <w:proofErr w:type="spellStart"/>
      <w:r w:rsidRPr="00FF0F18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., у тому числі по загальному фонду – 22,7 млн. грн., що у порівнянні з початком року менше на 36,4 млн. грн. (на 01.01.2014 – 59,0 млн. грн.) та по спеціальному фонду – 152,5 млн. грн., що у порівнянні з початком року менше на 12,0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. (на 01.01.2014 – 164,6 млн. грн.), із яких 127,2 млн. грн. – це заборгованість минулих років по видатках, що здійснювались за рахунок коштів субвенції з державного бюджету на будівництво автомобільної дороги на ділянці від вул. 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Кайдацький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 xml:space="preserve"> шлях до автомобільної дороги Київ-Луганськ-</w:t>
      </w:r>
      <w:proofErr w:type="spellStart"/>
      <w:r w:rsidRPr="00FF0F18">
        <w:rPr>
          <w:rFonts w:ascii="Arial" w:eastAsia="Times New Roman" w:hAnsi="Arial" w:cs="Arial"/>
          <w:sz w:val="21"/>
          <w:szCs w:val="21"/>
          <w:lang w:eastAsia="uk-UA"/>
        </w:rPr>
        <w:t>Ізварине</w:t>
      </w:r>
      <w:proofErr w:type="spellEnd"/>
      <w:r w:rsidRPr="00FF0F18">
        <w:rPr>
          <w:rFonts w:ascii="Arial" w:eastAsia="Times New Roman" w:hAnsi="Arial" w:cs="Arial"/>
          <w:sz w:val="21"/>
          <w:szCs w:val="21"/>
          <w:lang w:eastAsia="uk-UA"/>
        </w:rPr>
        <w:t>, (кошти субвенції з державного бюджету на погашення цієї заборгованості не надходили).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FF0F18">
        <w:rPr>
          <w:rFonts w:ascii="Arial" w:eastAsia="Times New Roman" w:hAnsi="Arial" w:cs="Arial"/>
          <w:sz w:val="21"/>
          <w:szCs w:val="21"/>
          <w:lang w:eastAsia="uk-UA"/>
        </w:rPr>
        <w:br/>
        <w:t>Дякую за увагу.</w:t>
      </w:r>
    </w:p>
    <w:p w:rsidR="00AA0984" w:rsidRPr="00FF0F18" w:rsidRDefault="00AA0984"/>
    <w:sectPr w:rsidR="00AA0984" w:rsidRPr="00FF0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8"/>
    <w:rsid w:val="00AA0984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9900-3016-47E5-833D-661CA3B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FF0F18"/>
  </w:style>
  <w:style w:type="character" w:styleId="a3">
    <w:name w:val="Strong"/>
    <w:basedOn w:val="a0"/>
    <w:uiPriority w:val="22"/>
    <w:qFormat/>
    <w:rsid w:val="00FF0F18"/>
    <w:rPr>
      <w:b/>
      <w:bCs/>
    </w:rPr>
  </w:style>
  <w:style w:type="character" w:styleId="a4">
    <w:name w:val="Emphasis"/>
    <w:basedOn w:val="a0"/>
    <w:uiPriority w:val="20"/>
    <w:qFormat/>
    <w:rsid w:val="00FF0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81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6232</Words>
  <Characters>3553</Characters>
  <Application>Microsoft Office Word</Application>
  <DocSecurity>0</DocSecurity>
  <Lines>29</Lines>
  <Paragraphs>19</Paragraphs>
  <ScaleCrop>false</ScaleCrop>
  <Company>Дніпровська міська рада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2021-04-02T13:03:00Z</dcterms:created>
  <dcterms:modified xsi:type="dcterms:W3CDTF">2021-04-02T13:04:00Z</dcterms:modified>
</cp:coreProperties>
</file>