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1838" w14:textId="77777777" w:rsidR="009355FD" w:rsidRDefault="009355FD" w:rsidP="009355FD">
      <w:pPr>
        <w:spacing w:after="0"/>
        <w:jc w:val="center"/>
        <w:outlineLvl w:val="1"/>
        <w:rPr>
          <w:rFonts w:ascii="Georgia" w:eastAsia="Times New Roman" w:hAnsi="Georgia"/>
          <w:bCs/>
          <w:i/>
          <w:iCs/>
          <w:color w:val="17365D"/>
          <w:sz w:val="28"/>
          <w:szCs w:val="28"/>
          <w:lang w:val="uk-UA"/>
        </w:rPr>
      </w:pPr>
      <w:r>
        <w:rPr>
          <w:rFonts w:ascii="Georgia" w:hAnsi="Georgia"/>
          <w:bCs/>
          <w:i/>
          <w:iCs/>
          <w:color w:val="17365D"/>
          <w:sz w:val="28"/>
          <w:szCs w:val="28"/>
          <w:lang w:val="uk-UA"/>
        </w:rPr>
        <w:t>Обґрунтування КП «ТЕПЛОЕНЕРГО» Дніпровської міської ради</w:t>
      </w:r>
    </w:p>
    <w:p w14:paraId="0846300B" w14:textId="5E5E766C" w:rsidR="004C6AEA" w:rsidRPr="004C6AEA" w:rsidRDefault="009355FD" w:rsidP="004C6AEA">
      <w:pPr>
        <w:spacing w:after="100" w:afterAutospacing="1"/>
        <w:jc w:val="center"/>
        <w:outlineLvl w:val="1"/>
        <w:rPr>
          <w:rFonts w:ascii="Georgia" w:hAnsi="Georgia"/>
          <w:i/>
          <w:color w:val="17365D"/>
          <w:sz w:val="28"/>
          <w:szCs w:val="28"/>
          <w:lang w:val="uk-UA"/>
        </w:rPr>
      </w:pPr>
      <w:r>
        <w:rPr>
          <w:rFonts w:ascii="Georgia" w:hAnsi="Georgia"/>
          <w:bCs/>
          <w:i/>
          <w:iCs/>
          <w:color w:val="17365D"/>
          <w:sz w:val="28"/>
          <w:szCs w:val="28"/>
          <w:lang w:val="uk-UA"/>
        </w:rPr>
        <w:t xml:space="preserve">щодо необхідності встановлення  </w:t>
      </w:r>
      <w:r w:rsidR="00682C7A">
        <w:rPr>
          <w:rFonts w:ascii="Georgia" w:hAnsi="Georgia"/>
          <w:bCs/>
          <w:i/>
          <w:iCs/>
          <w:color w:val="17365D"/>
          <w:sz w:val="28"/>
          <w:szCs w:val="28"/>
          <w:lang w:val="uk-UA"/>
        </w:rPr>
        <w:t xml:space="preserve">нових </w:t>
      </w:r>
      <w:r>
        <w:rPr>
          <w:rFonts w:ascii="Georgia" w:hAnsi="Georgia"/>
          <w:i/>
          <w:color w:val="17365D"/>
          <w:sz w:val="28"/>
          <w:szCs w:val="28"/>
          <w:lang w:val="uk-UA"/>
        </w:rPr>
        <w:t xml:space="preserve">тарифів на теплову енергію, її виробництво, транспортування, постачання для потреб населення, бюджетних установ, релігійних </w:t>
      </w:r>
      <w:r w:rsidR="005C7D16">
        <w:rPr>
          <w:rFonts w:ascii="Georgia" w:hAnsi="Georgia"/>
          <w:i/>
          <w:color w:val="17365D"/>
          <w:sz w:val="28"/>
          <w:szCs w:val="28"/>
          <w:lang w:val="uk-UA"/>
        </w:rPr>
        <w:t>організацій та інших споживачів</w:t>
      </w:r>
    </w:p>
    <w:p w14:paraId="007F03BF" w14:textId="38085249" w:rsidR="005157E8" w:rsidRDefault="005157E8" w:rsidP="004C6AE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 «Теплоенерго» забезпечує потреби основної частини міста Дніпро тепловою енергією та надання</w:t>
      </w:r>
      <w:r w:rsidR="005C7D16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 з постачання теплової енергії.</w:t>
      </w:r>
    </w:p>
    <w:p w14:paraId="06D4409A" w14:textId="628F4B09" w:rsidR="00F12C76" w:rsidRDefault="005157E8" w:rsidP="004C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балансі підприємства 488 котелень, у тому числі 69 систем автономного опалення (САО).</w:t>
      </w:r>
    </w:p>
    <w:p w14:paraId="57D067A5" w14:textId="13BEF037" w:rsidR="005157E8" w:rsidRDefault="005157E8" w:rsidP="004C6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Постанови Кабінету Міністрів України від 05.08.2015</w:t>
      </w:r>
      <w:r w:rsidR="004C6A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2015 «Про затвердження переліку органів ліцензування та визнання такими, що втратили чинність, деяких Постанов Кабінету Міністрів України (зі змінами) Національна комісія, що здійснює державне регулювання у сферах енергетики та комунальних послуг (далі НКРЕКП) Постановою </w:t>
      </w:r>
      <w:r w:rsidR="004C6A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07.07.2021 № 1085 внесла зміни до Ліцензійних умов провадження господарської діяльності у сфері теплопостачання, згідно із якими повноваження щодо встановлення тарифів на теплову енергію, її виробництво, транспортування, постачання та послуги з постачання теплової енергії віднесено до органів місцевого самоврядування. У зв’язку із чим у підприємства виникла необхідність у перезатвердженні тарифів на теплову енергію із дотриманням вимог постанови  КМУ від 01.06.2011 №869 (далі - Порядок №869), якою передбачено </w:t>
      </w:r>
      <w:r w:rsidRPr="004C6AEA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щорічне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тарифів </w:t>
      </w:r>
      <w:r w:rsidR="004C6AEA">
        <w:rPr>
          <w:rFonts w:ascii="Times New Roman" w:hAnsi="Times New Roman" w:cs="Times New Roman"/>
          <w:sz w:val="28"/>
          <w:szCs w:val="28"/>
          <w:lang w:val="uk-UA"/>
        </w:rPr>
        <w:t xml:space="preserve">на теплову енергію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 послуги з постачання теплової енергії </w:t>
      </w:r>
      <w:r w:rsidRPr="004C6AE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початку опалювального сезону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відшкодування всіх економічно обґрунтованих втрат, пов’язаних з виробництвом, транспортуванням та постачанням теплової енергії.</w:t>
      </w:r>
    </w:p>
    <w:p w14:paraId="6DA80D51" w14:textId="1CA283DB" w:rsidR="00903D73" w:rsidRDefault="00903D73" w:rsidP="005157E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D73">
        <w:rPr>
          <w:rFonts w:ascii="Times New Roman" w:hAnsi="Times New Roman" w:cs="Times New Roman"/>
          <w:sz w:val="28"/>
          <w:szCs w:val="28"/>
          <w:lang w:val="uk-UA"/>
        </w:rPr>
        <w:t xml:space="preserve">Тарифи формуються окремо для кожного виду ліцензованої діяльності з урахуванням категорій споживачів: населення, бюджетні установи, релігійні </w:t>
      </w:r>
      <w:r w:rsidR="004C6AE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та </w:t>
      </w:r>
      <w:r w:rsidR="004C6AEA" w:rsidRPr="00903D73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Pr="00903D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716350" w14:textId="642B0D6A" w:rsidR="00903D73" w:rsidRPr="00903D73" w:rsidRDefault="00903D73" w:rsidP="00903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03D73">
        <w:rPr>
          <w:rFonts w:ascii="Times New Roman" w:hAnsi="Times New Roman"/>
          <w:color w:val="000000"/>
          <w:sz w:val="28"/>
          <w:szCs w:val="28"/>
          <w:lang w:val="uk-UA"/>
        </w:rPr>
        <w:t>Встановлення економічно обґрунтованих тарифів на теплову енергію на рівні, який покриває всі витрати в собівартості цих послуг, є вимогою законодавства України, зокрема статті 31 Закону України «Про житлово-комунальні послуги» та статті 20 Закону України «Про теплопостачання».</w:t>
      </w:r>
    </w:p>
    <w:p w14:paraId="315EF110" w14:textId="421BD995" w:rsidR="00903D73" w:rsidRPr="00A748A7" w:rsidRDefault="00903D73" w:rsidP="00903D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748A7">
        <w:rPr>
          <w:rFonts w:ascii="Times New Roman" w:hAnsi="Times New Roman"/>
          <w:sz w:val="28"/>
          <w:szCs w:val="28"/>
          <w:lang w:val="uk-UA"/>
        </w:rPr>
        <w:t xml:space="preserve">Основними факторами впливу на необхідність встановлення тарифів  </w:t>
      </w:r>
      <w:r w:rsidR="00A748A7" w:rsidRPr="00A748A7">
        <w:rPr>
          <w:rFonts w:ascii="Times New Roman" w:hAnsi="Times New Roman"/>
          <w:sz w:val="28"/>
          <w:szCs w:val="28"/>
          <w:lang w:val="uk-UA"/>
        </w:rPr>
        <w:t>п</w:t>
      </w:r>
      <w:r w:rsidRPr="00A748A7">
        <w:rPr>
          <w:rFonts w:ascii="Times New Roman" w:hAnsi="Times New Roman"/>
          <w:sz w:val="28"/>
          <w:szCs w:val="28"/>
          <w:lang w:val="uk-UA"/>
        </w:rPr>
        <w:t xml:space="preserve">ерш за все </w:t>
      </w:r>
      <w:r w:rsidR="00A748A7" w:rsidRPr="00A748A7">
        <w:rPr>
          <w:rFonts w:ascii="Times New Roman" w:hAnsi="Times New Roman"/>
          <w:sz w:val="28"/>
          <w:szCs w:val="28"/>
          <w:lang w:val="uk-UA"/>
        </w:rPr>
        <w:t>є</w:t>
      </w:r>
      <w:r w:rsidRPr="00A748A7">
        <w:rPr>
          <w:rFonts w:ascii="Times New Roman" w:hAnsi="Times New Roman"/>
          <w:sz w:val="28"/>
          <w:szCs w:val="28"/>
          <w:lang w:val="uk-UA"/>
        </w:rPr>
        <w:t xml:space="preserve"> зміни в законодавчо-нормативній базі та </w:t>
      </w:r>
      <w:r w:rsidR="00A748A7" w:rsidRPr="00A748A7">
        <w:rPr>
          <w:rFonts w:ascii="Times New Roman" w:hAnsi="Times New Roman"/>
          <w:sz w:val="28"/>
          <w:szCs w:val="28"/>
          <w:lang w:val="uk-UA"/>
        </w:rPr>
        <w:t>зм</w:t>
      </w:r>
      <w:r w:rsidR="004C6AEA">
        <w:rPr>
          <w:rFonts w:ascii="Times New Roman" w:hAnsi="Times New Roman"/>
          <w:sz w:val="28"/>
          <w:szCs w:val="28"/>
          <w:lang w:val="uk-UA"/>
        </w:rPr>
        <w:t>іна</w:t>
      </w:r>
      <w:r w:rsidR="00A748A7" w:rsidRPr="00A748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48A7">
        <w:rPr>
          <w:rFonts w:ascii="Times New Roman" w:hAnsi="Times New Roman"/>
          <w:sz w:val="28"/>
          <w:szCs w:val="28"/>
          <w:lang w:val="uk-UA" w:eastAsia="uk-UA"/>
        </w:rPr>
        <w:t xml:space="preserve">фактичних обсягів виробництва та постачання теплової енергії. </w:t>
      </w:r>
    </w:p>
    <w:p w14:paraId="256E21F4" w14:textId="798AFFD9" w:rsidR="00A748A7" w:rsidRDefault="00A748A7" w:rsidP="00A748A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748A7">
        <w:rPr>
          <w:rFonts w:ascii="Times New Roman" w:hAnsi="Times New Roman"/>
          <w:sz w:val="28"/>
          <w:szCs w:val="28"/>
          <w:lang w:val="uk-UA"/>
        </w:rPr>
        <w:t>Формування тарифів на виробництво, транспортування та постачання теплової енергії здійснено КП «Теплоенерго» відповідно до річних планів її виробництва, транспортування та постачання, економічно обґрунтованих планованих витрат, визначених на підставі державних та</w:t>
      </w:r>
      <w:r>
        <w:rPr>
          <w:rFonts w:ascii="Times New Roman" w:hAnsi="Times New Roman"/>
          <w:sz w:val="28"/>
          <w:szCs w:val="28"/>
          <w:lang w:val="uk-UA"/>
        </w:rPr>
        <w:t xml:space="preserve"> галузевих нормативів витрат ресурсів, техніко-економічних розрахунків, кошторисів, а також витрат і втрат, визначених відповідно до методик (порядків), затверджених у встановленому порядку, з урахуванням ставок податків і зборів,  цін на матеріальні ресурси та послуги у планованому періоді,</w:t>
      </w:r>
      <w:r w:rsidRPr="00A748A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урахуванням основних особливостей технологічних процесів кожної котельні.</w:t>
      </w:r>
    </w:p>
    <w:p w14:paraId="79801126" w14:textId="2C8B5EEC" w:rsidR="00A748A7" w:rsidRDefault="00903D73" w:rsidP="00A748A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748A7">
        <w:rPr>
          <w:rFonts w:ascii="Times New Roman" w:hAnsi="Times New Roman"/>
          <w:sz w:val="28"/>
          <w:szCs w:val="28"/>
          <w:lang w:val="uk-UA" w:eastAsia="uk-UA"/>
        </w:rPr>
        <w:t xml:space="preserve">Для розрахунку витрат на природний газ </w:t>
      </w:r>
      <w:r w:rsidR="004C6AEA">
        <w:rPr>
          <w:rFonts w:ascii="Times New Roman" w:hAnsi="Times New Roman"/>
          <w:sz w:val="28"/>
          <w:szCs w:val="28"/>
          <w:lang w:val="uk-UA" w:eastAsia="uk-UA"/>
        </w:rPr>
        <w:t xml:space="preserve">у новому тарифі </w:t>
      </w:r>
      <w:r w:rsidRPr="00A748A7">
        <w:rPr>
          <w:rFonts w:ascii="Times New Roman" w:hAnsi="Times New Roman"/>
          <w:sz w:val="28"/>
          <w:szCs w:val="28"/>
          <w:lang w:val="uk-UA" w:eastAsia="uk-UA"/>
        </w:rPr>
        <w:t>прийнято ціну</w:t>
      </w:r>
      <w:r w:rsidR="004C6AEA">
        <w:rPr>
          <w:rFonts w:ascii="Times New Roman" w:hAnsi="Times New Roman"/>
          <w:sz w:val="28"/>
          <w:szCs w:val="28"/>
          <w:lang w:val="uk-UA" w:eastAsia="uk-UA"/>
        </w:rPr>
        <w:t xml:space="preserve"> газу</w:t>
      </w:r>
      <w:r w:rsidRPr="00A748A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748A7">
        <w:rPr>
          <w:rFonts w:ascii="Times New Roman" w:hAnsi="Times New Roman"/>
          <w:sz w:val="28"/>
          <w:szCs w:val="28"/>
          <w:lang w:val="uk-UA" w:eastAsia="uk-UA"/>
        </w:rPr>
        <w:t>за</w:t>
      </w:r>
      <w:r w:rsidRPr="00A748A7">
        <w:rPr>
          <w:rFonts w:ascii="Times New Roman" w:hAnsi="Times New Roman"/>
          <w:sz w:val="28"/>
          <w:szCs w:val="28"/>
          <w:lang w:val="uk-UA" w:eastAsia="uk-UA"/>
        </w:rPr>
        <w:t xml:space="preserve"> договор</w:t>
      </w:r>
      <w:r w:rsidR="00A748A7">
        <w:rPr>
          <w:rFonts w:ascii="Times New Roman" w:hAnsi="Times New Roman"/>
          <w:sz w:val="28"/>
          <w:szCs w:val="28"/>
          <w:lang w:val="uk-UA" w:eastAsia="uk-UA"/>
        </w:rPr>
        <w:t>ом</w:t>
      </w:r>
      <w:r w:rsidRPr="00A748A7">
        <w:rPr>
          <w:rFonts w:ascii="Times New Roman" w:hAnsi="Times New Roman"/>
          <w:sz w:val="28"/>
          <w:szCs w:val="28"/>
          <w:lang w:val="uk-UA" w:eastAsia="uk-UA"/>
        </w:rPr>
        <w:t xml:space="preserve"> з ТОВ </w:t>
      </w:r>
      <w:r w:rsidR="00853F2F" w:rsidRPr="00A748A7">
        <w:rPr>
          <w:rFonts w:ascii="Times New Roman" w:hAnsi="Times New Roman"/>
          <w:sz w:val="28"/>
          <w:szCs w:val="28"/>
          <w:lang w:val="uk-UA" w:eastAsia="uk-UA"/>
        </w:rPr>
        <w:t xml:space="preserve">«Газопостачальна компанія </w:t>
      </w:r>
      <w:r w:rsidRPr="00A748A7">
        <w:rPr>
          <w:rFonts w:ascii="Times New Roman" w:hAnsi="Times New Roman"/>
          <w:sz w:val="28"/>
          <w:szCs w:val="28"/>
          <w:lang w:val="uk-UA" w:eastAsia="uk-UA"/>
        </w:rPr>
        <w:t>«Нафтогаз Трейдинг»</w:t>
      </w:r>
      <w:r w:rsidR="004C6AEA">
        <w:rPr>
          <w:rFonts w:ascii="Times New Roman" w:hAnsi="Times New Roman"/>
          <w:sz w:val="28"/>
          <w:szCs w:val="28"/>
          <w:lang w:val="uk-UA" w:eastAsia="uk-UA"/>
        </w:rPr>
        <w:t xml:space="preserve"> (для населення – 6183,33 грн./1000м3, для бюджетних установ та релігійних організацій – 13</w:t>
      </w:r>
      <w:r w:rsidR="00BF5DD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C6AEA">
        <w:rPr>
          <w:rFonts w:ascii="Times New Roman" w:hAnsi="Times New Roman"/>
          <w:sz w:val="28"/>
          <w:szCs w:val="28"/>
          <w:lang w:val="uk-UA" w:eastAsia="uk-UA"/>
        </w:rPr>
        <w:t>658,42 грн./1000м3, інші – 20641,50 грн/1000м3);</w:t>
      </w:r>
      <w:r w:rsidRPr="00A748A7">
        <w:rPr>
          <w:rFonts w:ascii="Times New Roman" w:hAnsi="Times New Roman"/>
          <w:sz w:val="28"/>
          <w:szCs w:val="28"/>
          <w:lang w:val="uk-UA" w:eastAsia="uk-UA"/>
        </w:rPr>
        <w:t xml:space="preserve"> тариф на послуги з транспортування природного газу </w:t>
      </w:r>
      <w:r w:rsidR="004C6AEA"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A748A7">
        <w:rPr>
          <w:rFonts w:ascii="Times New Roman" w:hAnsi="Times New Roman"/>
          <w:sz w:val="28"/>
          <w:szCs w:val="28"/>
          <w:lang w:val="uk-UA" w:eastAsia="uk-UA"/>
        </w:rPr>
        <w:t>136,576 грн.</w:t>
      </w:r>
      <w:r w:rsidR="004C6AEA">
        <w:rPr>
          <w:rFonts w:ascii="Times New Roman" w:hAnsi="Times New Roman"/>
          <w:sz w:val="28"/>
          <w:szCs w:val="28"/>
          <w:lang w:val="uk-UA" w:eastAsia="uk-UA"/>
        </w:rPr>
        <w:t>/</w:t>
      </w:r>
      <w:r w:rsidRPr="00A748A7">
        <w:rPr>
          <w:rFonts w:ascii="Times New Roman" w:hAnsi="Times New Roman"/>
          <w:sz w:val="28"/>
          <w:szCs w:val="28"/>
          <w:lang w:val="uk-UA" w:eastAsia="uk-UA"/>
        </w:rPr>
        <w:t xml:space="preserve">1000 м3, тариф на розподіл природного газу </w:t>
      </w:r>
      <w:r w:rsidR="004C6AEA"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A748A7">
        <w:rPr>
          <w:rFonts w:ascii="Times New Roman" w:hAnsi="Times New Roman"/>
          <w:sz w:val="28"/>
          <w:szCs w:val="28"/>
          <w:lang w:val="uk-UA" w:eastAsia="uk-UA"/>
        </w:rPr>
        <w:t>930 грн.</w:t>
      </w:r>
      <w:r w:rsidR="004C6AEA">
        <w:rPr>
          <w:rFonts w:ascii="Times New Roman" w:hAnsi="Times New Roman"/>
          <w:sz w:val="28"/>
          <w:szCs w:val="28"/>
          <w:lang w:val="uk-UA" w:eastAsia="uk-UA"/>
        </w:rPr>
        <w:t>/1000</w:t>
      </w:r>
      <w:r w:rsidRPr="00A748A7">
        <w:rPr>
          <w:rFonts w:ascii="Times New Roman" w:hAnsi="Times New Roman"/>
          <w:sz w:val="28"/>
          <w:szCs w:val="28"/>
          <w:lang w:val="uk-UA" w:eastAsia="uk-UA"/>
        </w:rPr>
        <w:t xml:space="preserve"> м3 газу на місяць.</w:t>
      </w:r>
      <w:r w:rsidR="00A74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3563958D" w14:textId="3A1C1340" w:rsidR="00A748A7" w:rsidRDefault="00A748A7" w:rsidP="00A748A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Для розрахунку витрат на електричну енергію для технологічних потреб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виробництва теплової енергії, її транспортування, прийнято ціну на електричну енергію на рівні 2 класу напруги.</w:t>
      </w:r>
      <w:r w:rsidR="00BF5D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Середньозважена ціна електроенергії – 3,39 грн./квт год.</w:t>
      </w:r>
    </w:p>
    <w:p w14:paraId="1C5DB8C9" w14:textId="621B491A" w:rsidR="00A748A7" w:rsidRDefault="00A748A7" w:rsidP="00A748A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Pr="00A748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Витрати на воду для технологічних потреб виробництва теплової енергії та водовідведення розраховані відповідно до укладених договорів, виходячи з планованих обсягів, визначених згідно з державними і галузевими нормативами (нормами). Витрати визначені на рівні цін на водопостачання і водовідведення КП «Дніпроводоканал»</w:t>
      </w:r>
      <w:r w:rsidR="00BF5D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- 21,07 грн/м3.</w:t>
      </w:r>
    </w:p>
    <w:p w14:paraId="1CD5E8F3" w14:textId="7A871F8C" w:rsidR="00A748A7" w:rsidRDefault="00A748A7" w:rsidP="00A748A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Зростання прямих витрат на оплату праці в структурі тарифу на теплову енергію та на послуги з постачання теплової енергії відбуваються за рахунок збільшення мінімального прожиткового мінімуму для працездатних осіб.</w:t>
      </w:r>
    </w:p>
    <w:p w14:paraId="68730C11" w14:textId="77777777" w:rsidR="00664CC3" w:rsidRDefault="00682C7A" w:rsidP="00664C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Середній розрахунковий мінімальний прожитковий мінімум, який враховано у наданих розрахунках, становить 2464,0 грн.</w:t>
      </w:r>
    </w:p>
    <w:p w14:paraId="1CD51A70" w14:textId="49CE5C61" w:rsidR="00664CC3" w:rsidRDefault="00664CC3" w:rsidP="00664CC3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4CC3">
        <w:rPr>
          <w:rFonts w:ascii="Times New Roman" w:hAnsi="Times New Roman"/>
          <w:sz w:val="28"/>
          <w:szCs w:val="28"/>
          <w:lang w:val="uk-UA" w:eastAsia="uk-UA"/>
        </w:rPr>
        <w:t>Визначені інші прямі витрати, до яких віднесено: - єдиний внесок на загальнообов'язкове державне соціальне страхування працівників, - амортизація основних засобів, інших необоротних матеріальних і нематеріальних активів виробничого призначення, задіяних у процесі виробництва теплової енергії, її транспортування та постачання, розрахунок якої здійснено відповідно до вимог </w:t>
      </w:r>
      <w:hyperlink r:id="rId4" w:tgtFrame="_blank" w:history="1">
        <w:r w:rsidRPr="00664CC3">
          <w:rPr>
            <w:rFonts w:ascii="Times New Roman" w:hAnsi="Times New Roman"/>
            <w:sz w:val="28"/>
            <w:szCs w:val="28"/>
            <w:lang w:val="uk-UA" w:eastAsia="uk-UA"/>
          </w:rPr>
          <w:t>Податкового кодексу України</w:t>
        </w:r>
      </w:hyperlink>
      <w:r w:rsidRPr="00664CC3">
        <w:rPr>
          <w:rFonts w:ascii="Times New Roman" w:hAnsi="Times New Roman"/>
          <w:sz w:val="28"/>
          <w:szCs w:val="28"/>
          <w:lang w:val="uk-UA" w:eastAsia="uk-UA"/>
        </w:rPr>
        <w:t>; - витрати на періодичну повірку, обслуговування та ремонт засобів обліку (включаючи демонтаж, транспортування і монтаж після повірки), які є власністю підприємства та/або перебувають у користуванні та які не є вузлами комерційного обліку відповідно до </w:t>
      </w:r>
      <w:hyperlink r:id="rId5" w:tgtFrame="_blank" w:history="1">
        <w:r w:rsidRPr="00664CC3">
          <w:rPr>
            <w:rFonts w:ascii="Times New Roman" w:hAnsi="Times New Roman"/>
            <w:sz w:val="28"/>
            <w:szCs w:val="28"/>
            <w:lang w:val="uk-UA" w:eastAsia="uk-UA"/>
          </w:rPr>
          <w:t>Закону України</w:t>
        </w:r>
      </w:hyperlink>
      <w:r w:rsidRPr="00664CC3">
        <w:rPr>
          <w:rFonts w:ascii="Times New Roman" w:hAnsi="Times New Roman"/>
          <w:sz w:val="28"/>
          <w:szCs w:val="28"/>
          <w:lang w:val="uk-UA" w:eastAsia="uk-UA"/>
        </w:rPr>
        <w:t xml:space="preserve"> «Про комерційний облік теплової енергії та водопостачання», - </w:t>
      </w:r>
      <w:bookmarkStart w:id="0" w:name="n89"/>
      <w:bookmarkEnd w:id="0"/>
      <w:r w:rsidRPr="00664CC3">
        <w:rPr>
          <w:rFonts w:ascii="Times New Roman" w:hAnsi="Times New Roman"/>
          <w:sz w:val="28"/>
          <w:szCs w:val="28"/>
          <w:lang w:val="uk-UA" w:eastAsia="uk-UA"/>
        </w:rPr>
        <w:t xml:space="preserve">витрати на ремонт основних засобів, задіяних у процесі виробництва теплової енергії, її транспортування та постачання, передбачені планом виконання планово-попереджувальних робіт; - </w:t>
      </w:r>
      <w:bookmarkStart w:id="1" w:name="n91"/>
      <w:bookmarkEnd w:id="1"/>
      <w:r w:rsidRPr="00664CC3">
        <w:rPr>
          <w:rFonts w:ascii="Times New Roman" w:hAnsi="Times New Roman"/>
          <w:sz w:val="28"/>
          <w:szCs w:val="28"/>
          <w:lang w:val="uk-UA" w:eastAsia="uk-UA"/>
        </w:rPr>
        <w:t>сплата податків і зборів та інших, передбачених законодавством, обов'язкових платежів, - інші прямі витрати, до складу яких включено всі необхідні виробничі витрати, які можуть бути безпосередньо віднесені до діяльності з виробництва теплової енергії, її транспортування та постачання.</w:t>
      </w:r>
    </w:p>
    <w:p w14:paraId="149720FE" w14:textId="77777777" w:rsidR="00571132" w:rsidRDefault="00A748A7" w:rsidP="0057113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Адміністративні витрати розподілені між ліцензованими видами діяльності пропорційно сумі прямих витрат та відповідною часткою включені до складу тарифів на виробництво, транспортування та постачання теплової енергії.</w:t>
      </w:r>
    </w:p>
    <w:p w14:paraId="1F620258" w14:textId="3F21F3EA" w:rsidR="009F6CDA" w:rsidRDefault="00A748A7" w:rsidP="00571132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п. 27 Порядку № 869, у тарифах на теплову енергію, її виробництво, транспортування, постачання ураховано обігові кошти  за рахунок планового прибутку в обсязі 4%.  Вказане здійснено з метою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запобігання збитків підприємства, викликаних щомісячною зміною ціни на електроенергію, природний газ, необхідністю обов’язкового проведення 100% попередньої оплати електроенергії.</w:t>
      </w:r>
    </w:p>
    <w:p w14:paraId="0B2D4943" w14:textId="7592E4D7" w:rsidR="005157E8" w:rsidRDefault="005157E8" w:rsidP="009F6CD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п.9 Порядку № 869, тарифи на теплову енергію, що виробляється та постачається за допомогою систем автономного опалення, формуються та встановлюються окремо для кожного багатоквартирного будинку, обладнаного системою автономного опалення. Усі витрати, які враховано у тарифах на теплову енергію для САО, розраховано за тією ж самою методологією що і загальний тариф.</w:t>
      </w:r>
    </w:p>
    <w:p w14:paraId="3CCD952D" w14:textId="77777777" w:rsidR="005157E8" w:rsidRDefault="005157E8" w:rsidP="005157E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CEE23B" w14:textId="77777777" w:rsidR="00A748A7" w:rsidRDefault="00A748A7" w:rsidP="00A748A7">
      <w:pPr>
        <w:spacing w:after="0" w:line="360" w:lineRule="atLeast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sz w:val="28"/>
          <w:szCs w:val="28"/>
          <w:u w:val="single"/>
        </w:rPr>
        <w:t xml:space="preserve">роект розрахунків тарифів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на теплову енергію </w:t>
      </w:r>
      <w:r>
        <w:rPr>
          <w:rFonts w:ascii="Times New Roman" w:hAnsi="Times New Roman"/>
          <w:sz w:val="28"/>
          <w:szCs w:val="28"/>
          <w:u w:val="single"/>
        </w:rPr>
        <w:t>за групами</w:t>
      </w:r>
      <w:r>
        <w:rPr>
          <w:rFonts w:ascii="Times New Roman" w:hAnsi="Times New Roman"/>
          <w:color w:val="333333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споживачів є наступним: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2320"/>
        <w:gridCol w:w="2673"/>
      </w:tblGrid>
      <w:tr w:rsidR="006277AA" w14:paraId="045AFDF0" w14:textId="77777777" w:rsidTr="00571132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FC9B459" w14:textId="77777777" w:rsidR="006277AA" w:rsidRDefault="0062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81875AC" w14:textId="77777777" w:rsidR="006277AA" w:rsidRDefault="0062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Діючий тариф, грн/Гкал (без ПДВ)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D67424C" w14:textId="77777777" w:rsidR="006277AA" w:rsidRDefault="0062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Проект тарифу, грн/Гкал (без ПДВ)</w:t>
            </w:r>
          </w:p>
        </w:tc>
      </w:tr>
      <w:tr w:rsidR="006277AA" w14:paraId="3E1FBC61" w14:textId="77777777" w:rsidTr="00571132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9371" w14:textId="77777777" w:rsidR="006277AA" w:rsidRDefault="006277AA" w:rsidP="00571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2D2" w14:textId="346560CC" w:rsidR="006277AA" w:rsidRDefault="006277AA" w:rsidP="00571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1451,1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C1AE" w14:textId="609E9F67" w:rsidR="006277AA" w:rsidRDefault="006277AA" w:rsidP="00571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1786,83</w:t>
            </w:r>
          </w:p>
        </w:tc>
      </w:tr>
      <w:tr w:rsidR="006277AA" w14:paraId="25529870" w14:textId="77777777" w:rsidTr="00571132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B8AB" w14:textId="77777777" w:rsidR="006277AA" w:rsidRDefault="006277AA" w:rsidP="00571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5361" w14:textId="239E7639" w:rsidR="006277AA" w:rsidRDefault="006277AA" w:rsidP="00571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1483,5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B995" w14:textId="1BEED60E" w:rsidR="006277AA" w:rsidRDefault="006277AA" w:rsidP="00571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3014,20</w:t>
            </w:r>
          </w:p>
        </w:tc>
      </w:tr>
      <w:tr w:rsidR="006277AA" w14:paraId="737EEEE5" w14:textId="77777777" w:rsidTr="00571132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C53F" w14:textId="77777777" w:rsidR="006277AA" w:rsidRDefault="006277AA" w:rsidP="00571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E372" w14:textId="0D9C5002" w:rsidR="006277AA" w:rsidRDefault="006277AA" w:rsidP="00571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1345,11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5313" w14:textId="219303D8" w:rsidR="006277AA" w:rsidRDefault="006277AA" w:rsidP="00571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4160,06</w:t>
            </w:r>
          </w:p>
        </w:tc>
      </w:tr>
      <w:tr w:rsidR="006277AA" w14:paraId="379A732A" w14:textId="77777777" w:rsidTr="00571132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CEF6" w14:textId="77777777" w:rsidR="006277AA" w:rsidRDefault="006277AA" w:rsidP="00571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Релігійні організації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924C" w14:textId="4F97C81E" w:rsidR="006277AA" w:rsidRDefault="006277AA" w:rsidP="00571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1450,38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7321" w14:textId="494019FC" w:rsidR="006277AA" w:rsidRDefault="006277AA" w:rsidP="00571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3014,20</w:t>
            </w:r>
          </w:p>
        </w:tc>
      </w:tr>
    </w:tbl>
    <w:p w14:paraId="2E3E740F" w14:textId="40562DFA" w:rsidR="005157E8" w:rsidRDefault="005157E8" w:rsidP="006C0B77">
      <w:pPr>
        <w:spacing w:after="0"/>
        <w:ind w:firstLine="709"/>
        <w:jc w:val="both"/>
        <w:rPr>
          <w:lang w:val="uk-UA"/>
        </w:rPr>
      </w:pPr>
    </w:p>
    <w:p w14:paraId="452E9774" w14:textId="2775097F" w:rsidR="00571132" w:rsidRDefault="00571132" w:rsidP="006C0B77">
      <w:pPr>
        <w:spacing w:after="0"/>
        <w:ind w:firstLine="709"/>
        <w:jc w:val="both"/>
        <w:rPr>
          <w:lang w:val="uk-UA"/>
        </w:rPr>
      </w:pPr>
    </w:p>
    <w:p w14:paraId="39F194AB" w14:textId="77777777" w:rsidR="00571132" w:rsidRDefault="00571132" w:rsidP="00571132">
      <w:pPr>
        <w:shd w:val="clear" w:color="auto" w:fill="FFFFFF"/>
        <w:spacing w:before="100" w:beforeAutospacing="1" w:after="100" w:afterAutospacing="1" w:line="240" w:lineRule="auto"/>
        <w:ind w:right="-14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Проекти тарифів на теплову енергію для САО за групами споживачів є наступними:</w:t>
      </w:r>
    </w:p>
    <w:tbl>
      <w:tblPr>
        <w:tblW w:w="9226" w:type="dxa"/>
        <w:tblLook w:val="04A0" w:firstRow="1" w:lastRow="0" w:firstColumn="1" w:lastColumn="0" w:noHBand="0" w:noVBand="1"/>
      </w:tblPr>
      <w:tblGrid>
        <w:gridCol w:w="544"/>
        <w:gridCol w:w="3763"/>
        <w:gridCol w:w="1204"/>
        <w:gridCol w:w="1129"/>
        <w:gridCol w:w="1307"/>
        <w:gridCol w:w="1281"/>
      </w:tblGrid>
      <w:tr w:rsidR="00571132" w14:paraId="674AB4F2" w14:textId="77777777" w:rsidTr="00571132">
        <w:trPr>
          <w:trHeight w:val="63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1247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з/п</w:t>
            </w:r>
          </w:p>
        </w:tc>
        <w:tc>
          <w:tcPr>
            <w:tcW w:w="3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1840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Адреса, за якою розташована САО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(вулиця, будинок, корпус)</w:t>
            </w:r>
          </w:p>
        </w:tc>
        <w:tc>
          <w:tcPr>
            <w:tcW w:w="36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722E3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Тарифи на теплову енергію, грн./Гкал (без ПДВ)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31C8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Тариф на послугу з постачання теплової енергії для населення, грн./Гкал з ПДВ</w:t>
            </w:r>
          </w:p>
        </w:tc>
      </w:tr>
      <w:tr w:rsidR="00571132" w14:paraId="0DE68FD6" w14:textId="77777777" w:rsidTr="00571132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C8773" w14:textId="77777777" w:rsidR="00571132" w:rsidRDefault="00571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510F5" w14:textId="77777777" w:rsidR="00571132" w:rsidRDefault="005711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585A1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населення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855BC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бюджетні установи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ED45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інші споживачі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3AD92" w14:textId="77777777" w:rsidR="00571132" w:rsidRDefault="005711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132" w14:paraId="3E8D4E76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8B76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06F6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АНДРІЯ ФАБРА,  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FFC0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2028,15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5229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DBB2C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2748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2433,78</w:t>
            </w:r>
          </w:p>
        </w:tc>
      </w:tr>
      <w:tr w:rsidR="00571132" w14:paraId="24B61FE0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7E28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A30D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АНДРІЯ ФАБРА, 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0226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1752,97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4F77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6DB4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3950,23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762C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2103,57</w:t>
            </w:r>
          </w:p>
        </w:tc>
      </w:tr>
      <w:tr w:rsidR="00571132" w14:paraId="6A77AE66" w14:textId="77777777" w:rsidTr="00571132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1A03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BBDD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БАРИКАДНА, 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E979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1558,78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9E4A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C27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629A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1870,54</w:t>
            </w:r>
          </w:p>
        </w:tc>
      </w:tr>
      <w:tr w:rsidR="00571132" w14:paraId="3AB45483" w14:textId="77777777" w:rsidTr="00571132">
        <w:trPr>
          <w:trHeight w:val="5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A5FA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CF3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БОГДАНА ХМЕЛЬНИЦЬКОГО,142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1A3D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1397,71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7125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6BBD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1F29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1677,25</w:t>
            </w:r>
          </w:p>
        </w:tc>
      </w:tr>
      <w:tr w:rsidR="00571132" w14:paraId="56AA36C5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AEE5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68E1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ВИБОРЗЬКА,  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7012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1408,21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4BA8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4495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F9F2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1689,86</w:t>
            </w:r>
          </w:p>
        </w:tc>
      </w:tr>
      <w:tr w:rsidR="00571132" w14:paraId="504B2FCA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410F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B8EB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ВОКЗАЛЬНА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E40F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0338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69BE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3502,69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824D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1567,20</w:t>
            </w:r>
          </w:p>
        </w:tc>
      </w:tr>
      <w:tr w:rsidR="00571132" w14:paraId="2FEA1FE9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53BB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1ACF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ВОЛОДИМИРА ВЕРНАДСЬКОГО, 12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5110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1459,32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B84F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9243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3727,08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F311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1751,18</w:t>
            </w:r>
          </w:p>
        </w:tc>
      </w:tr>
      <w:tr w:rsidR="00571132" w14:paraId="6F475957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6F31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914E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ВОЛОДИМИРА ВЕРНАДСЬКОГО, 22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376F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1433,32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809D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F7A9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DDC4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1719,99</w:t>
            </w:r>
          </w:p>
        </w:tc>
      </w:tr>
      <w:tr w:rsidR="00571132" w14:paraId="003B8D08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B537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EF06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ВОЛОДИМИРА ВЕРНАДСЬКОГО, 24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95AE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1320,10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17F0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2F60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3425,12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627A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1584,12</w:t>
            </w:r>
          </w:p>
        </w:tc>
      </w:tr>
      <w:tr w:rsidR="00571132" w14:paraId="309ED4B9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E263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C588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ВОЛОДИМИРА МОНОМАХА,  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C3D4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1381,14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6762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E741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3660,35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8F86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1657,37</w:t>
            </w:r>
          </w:p>
        </w:tc>
      </w:tr>
      <w:tr w:rsidR="00571132" w14:paraId="3F4D7053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38B5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60D3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ВОЛОДИМИРА МОССАКОВСЬКОГО,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57A5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1481,56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3AF3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535E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2D5B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1777,88</w:t>
            </w:r>
          </w:p>
        </w:tc>
      </w:tr>
      <w:tr w:rsidR="00571132" w14:paraId="15FF67A7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AE56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EDA8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ВОСКРЕСЕНСЬКА, 1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19B6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1336,29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265C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83E9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3803,19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60DE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1603,55</w:t>
            </w:r>
          </w:p>
        </w:tc>
      </w:tr>
      <w:tr w:rsidR="00571132" w14:paraId="262B3BF6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82F4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9DCA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ГАГАРІНА, 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2DF2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1274,85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83FB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0900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3380,82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1C91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1529,82</w:t>
            </w:r>
          </w:p>
        </w:tc>
      </w:tr>
      <w:tr w:rsidR="00571132" w14:paraId="6511FD06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81B5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DC3A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ГЛІНКИ, 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8B35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1868,38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4F53C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0D67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05AA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2242,06</w:t>
            </w:r>
          </w:p>
        </w:tc>
      </w:tr>
      <w:tr w:rsidR="00571132" w14:paraId="69523CFF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4B8E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65B1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ДАРНИЦЬКА, 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0A3C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1274,85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79B6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27CF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3380,82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FE2F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1529,82</w:t>
            </w:r>
          </w:p>
        </w:tc>
      </w:tr>
      <w:tr w:rsidR="00571132" w14:paraId="2CAC97EE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AEFBC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BC4C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ДМИТРА ЯВОРНИЦЬКОГО, 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8089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1322,26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D5E1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F9A2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3619,19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8D4E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1586,71</w:t>
            </w:r>
          </w:p>
        </w:tc>
      </w:tr>
      <w:tr w:rsidR="00571132" w14:paraId="76EE04C6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D628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9791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ДМИТРА ЯВОРНИЦЬКОГО, 72А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702B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1510,70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F98B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2693,07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1AE5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3797,62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9487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1812,84</w:t>
            </w:r>
          </w:p>
        </w:tc>
      </w:tr>
      <w:tr w:rsidR="00571132" w14:paraId="3571D4DE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A105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1054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ДМИТРА ЯВОРНИЦЬКОГО, 74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59AA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1381,76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A517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4B5AC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3726,39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A671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1658,11</w:t>
            </w:r>
          </w:p>
        </w:tc>
      </w:tr>
      <w:tr w:rsidR="00571132" w14:paraId="14F947B5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0179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719D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ДМИТРА ЯВОРНИЦЬКОГО, 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6EFF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1509,56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0029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00F0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3942,74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C836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1811,47</w:t>
            </w:r>
          </w:p>
        </w:tc>
      </w:tr>
      <w:tr w:rsidR="00571132" w14:paraId="68FE691F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09CF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2314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ДМИТРА ЯВОРНИЦЬКОГО, 99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A500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1650,76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E174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0EC9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4059,99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1545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1980,91</w:t>
            </w:r>
          </w:p>
        </w:tc>
      </w:tr>
      <w:tr w:rsidR="00571132" w14:paraId="66E780DE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3B57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62D1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ДМИТРА ЯВОРНИЦЬКОГО,100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D8DE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1181,17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A862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963D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797C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1417,41</w:t>
            </w:r>
          </w:p>
        </w:tc>
      </w:tr>
      <w:tr w:rsidR="00571132" w14:paraId="34A321E7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7A5F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7662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ДМИТРА ЯВОРНИЦЬКОГО,105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6A31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1307,75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B505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51EA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3352,74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59D5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1569,30</w:t>
            </w:r>
          </w:p>
        </w:tc>
      </w:tr>
      <w:tr w:rsidR="00571132" w14:paraId="38379B55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863F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0251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ЄВГЕНІЯ КОНОВАЛЬЦЯ, 13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CCBD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1478,41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4A5B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6103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899F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1774,10</w:t>
            </w:r>
          </w:p>
        </w:tc>
      </w:tr>
      <w:tr w:rsidR="00571132" w14:paraId="3F2717A0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ED65C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2500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ЗАПОРІЗЬКЕ ШОСЕ, 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4F6C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1222,25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B3EA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E6B4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62C8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1466,70</w:t>
            </w:r>
          </w:p>
        </w:tc>
      </w:tr>
      <w:tr w:rsidR="00571132" w14:paraId="1CDD1907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2342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6E27C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ЗОРЯНИЙ,  1 Оч-1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B524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1159,71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FBC6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C13C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3238,89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0DC3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1391,66</w:t>
            </w:r>
          </w:p>
        </w:tc>
      </w:tr>
      <w:tr w:rsidR="00571132" w14:paraId="719374DE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5DC5C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3A5D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ЗОРЯНИЙ,  1 Оч-2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D081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1191,68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C009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EACF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3252,75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D737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1430,02</w:t>
            </w:r>
          </w:p>
        </w:tc>
      </w:tr>
      <w:tr w:rsidR="00571132" w14:paraId="30913F95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7645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1CCB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ІВАНА АКІНФІЄВА, 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6E07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1334,39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E35BC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0347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3570,57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A1B9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1601,27</w:t>
            </w:r>
          </w:p>
        </w:tc>
      </w:tr>
      <w:tr w:rsidR="00571132" w14:paraId="7157D642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0F4C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BFC6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ІВАНА АКІНФІЄВА, 12Б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E70B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1570,14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6843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A9E6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4118,68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C85D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1884,16</w:t>
            </w:r>
          </w:p>
        </w:tc>
      </w:tr>
      <w:tr w:rsidR="00571132" w14:paraId="6046CCE5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3888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A7CB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ІВАНА АКІНФІЄВА, 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E424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1308,69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09B0C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8D04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3530,47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A56F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1570,42</w:t>
            </w:r>
          </w:p>
        </w:tc>
      </w:tr>
      <w:tr w:rsidR="00571132" w14:paraId="7910FD46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F499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68B2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ІВАНА АКІНФІЄВА, 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64A7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1379,58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285A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2633,72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E1EC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3805,32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F7A3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1655,50</w:t>
            </w:r>
          </w:p>
        </w:tc>
      </w:tr>
      <w:tr w:rsidR="00571132" w14:paraId="2FED055D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1708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958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КАМ"ЯНСЬКА, 38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3358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1572,19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8916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FA3D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E480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1886,63</w:t>
            </w:r>
          </w:p>
        </w:tc>
      </w:tr>
      <w:tr w:rsidR="00571132" w14:paraId="0E536C6F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380B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D2A8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КНЯГИНІ ОЛЬГИ ,  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5F65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1648,28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7DA9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8D5A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92D8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1977,93</w:t>
            </w:r>
          </w:p>
        </w:tc>
      </w:tr>
      <w:tr w:rsidR="00571132" w14:paraId="2FA76534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3852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76D0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ЛОЦМАНСЬКИЙ УЗВІЗ, 13Д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D784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2053,51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D4A5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9A4C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3307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2464,21</w:t>
            </w:r>
          </w:p>
        </w:tc>
      </w:tr>
      <w:tr w:rsidR="00571132" w14:paraId="318C87E9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24E2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D65A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МИХАЙЛА ГРУШЕВСЬКОГО, 13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224B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1697,83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85BC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5911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4342,55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C419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2037,39</w:t>
            </w:r>
          </w:p>
        </w:tc>
      </w:tr>
      <w:tr w:rsidR="00571132" w14:paraId="35DFCC84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6B18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4CD7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МИХАЙЛА ГРУШЕВСЬКОГО, 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A8D1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1295,04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497BC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DC6FC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79A8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1554,05</w:t>
            </w:r>
          </w:p>
        </w:tc>
      </w:tr>
      <w:tr w:rsidR="00571132" w14:paraId="21BD48DA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5A28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8957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МУСЛІМА МАГОМАЄВА,  1А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BE01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1769,71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F7EC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EB41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09BF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2123,66</w:t>
            </w:r>
          </w:p>
        </w:tc>
      </w:tr>
      <w:tr w:rsidR="00571132" w14:paraId="7095C7CA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09B0C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922F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 КОНИСЬКОГО, 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FC85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1696,77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533D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31D4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6A93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2036,13</w:t>
            </w:r>
          </w:p>
        </w:tc>
      </w:tr>
      <w:tr w:rsidR="00571132" w14:paraId="3EA9C83A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E8E6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A401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ОЛЕСЯ ГОНЧАРА,  6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8918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1341,78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4FC6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4EDD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3569,09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6125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1610,14</w:t>
            </w:r>
          </w:p>
        </w:tc>
      </w:tr>
      <w:tr w:rsidR="00571132" w14:paraId="0AACE651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33D4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1947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 ГОНЧАРА,  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99FB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1515,36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17E2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0B6D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4154,35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343C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1818,43</w:t>
            </w:r>
          </w:p>
        </w:tc>
      </w:tr>
      <w:tr w:rsidR="00571132" w14:paraId="53ABFC0B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C78E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7410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ПАВЛОВА, 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7C20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2362,92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C524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C3FC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8CAE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2835,51</w:t>
            </w:r>
          </w:p>
        </w:tc>
      </w:tr>
      <w:tr w:rsidR="00571132" w14:paraId="672128DB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117D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BCDB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ПАСТЕРА, 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0046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1723,95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5C73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8AD7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4259,98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2E32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2068,75</w:t>
            </w:r>
          </w:p>
        </w:tc>
      </w:tr>
      <w:tr w:rsidR="00571132" w14:paraId="4ED4860A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943A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565A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ПАСТЕРА, 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9F85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1390,84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7C87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247E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3817,78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E796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1669,00</w:t>
            </w:r>
          </w:p>
        </w:tc>
      </w:tr>
      <w:tr w:rsidR="00571132" w14:paraId="567F2D0B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6FFC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E6BF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ПАТОРЖИНСЬКОГО, 27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0252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1578,47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DA41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C708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3787,70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6B08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1894,16</w:t>
            </w:r>
          </w:p>
        </w:tc>
      </w:tr>
      <w:tr w:rsidR="00571132" w14:paraId="70B52078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FDE7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5F1B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РОМАНА ШУХЕВИЧА, 28/32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6D0B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1404,53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126FC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2600,04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1881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E754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1685,44</w:t>
            </w:r>
          </w:p>
        </w:tc>
      </w:tr>
      <w:tr w:rsidR="00571132" w14:paraId="4967887B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B94F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F1E8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РОМАНА ШУХЕВИЧА, 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3D81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1497,16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5040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76F8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F889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1796,60</w:t>
            </w:r>
          </w:p>
        </w:tc>
      </w:tr>
      <w:tr w:rsidR="00571132" w14:paraId="43B16C97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BB40C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6F04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СВОБОДИ, 99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C84F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1860,82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517C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CE07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B11A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2232,99</w:t>
            </w:r>
          </w:p>
        </w:tc>
      </w:tr>
      <w:tr w:rsidR="00571132" w14:paraId="2E558EAB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FC1C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A16D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СВЯТОСЛАВА ХОРОБРОГО, 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AC8E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1456,86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A834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A7B6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3990,32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D050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1748,23</w:t>
            </w:r>
          </w:p>
        </w:tc>
      </w:tr>
      <w:tr w:rsidR="00571132" w14:paraId="04CBCB3D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EFC6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5FACC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СВЯТОСЛАВА ХОРОБРОГО, 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335D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1565,09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5F2E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4EB7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4048,83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A737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1878,11</w:t>
            </w:r>
          </w:p>
        </w:tc>
      </w:tr>
      <w:tr w:rsidR="00571132" w14:paraId="2CCFBC40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0891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7744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СВЯТОСЛАВА ХОРОБРОГО, 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54BA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1532,15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3D01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2990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3996,47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6AFB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1838,57</w:t>
            </w:r>
          </w:p>
        </w:tc>
      </w:tr>
      <w:tr w:rsidR="00571132" w14:paraId="324B38F8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5A2A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D3AA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СЕВАСТОПОЛЬСЬКА,  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0FB8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1466,67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E4D7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EF63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8A55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1760,00</w:t>
            </w:r>
          </w:p>
        </w:tc>
      </w:tr>
      <w:tr w:rsidR="00571132" w14:paraId="73AC0930" w14:textId="77777777" w:rsidTr="00571132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5577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8394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СЕРГІЯ ЄФРЕМОВА,  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95D1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1302,50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4F31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F0BA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3444,38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FE6F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1563,00</w:t>
            </w:r>
          </w:p>
        </w:tc>
      </w:tr>
      <w:tr w:rsidR="00571132" w14:paraId="04476955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95B8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8B22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СЕРГІЯ ЄФРЕМОВА,  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6EB1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1177,96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5AD4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5EB3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D761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1413,55</w:t>
            </w:r>
          </w:p>
        </w:tc>
      </w:tr>
      <w:tr w:rsidR="00571132" w14:paraId="5C446170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09EB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5E59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СЕРГІЯ ЄФРЕМОВА, 21А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4B4A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1466,39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367B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F041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3710,58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DB98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1759,67</w:t>
            </w:r>
          </w:p>
        </w:tc>
      </w:tr>
      <w:tr w:rsidR="00571132" w14:paraId="3DE0B35B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AF26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26F2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СЕРГІЯ НІГОЯНА,  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DF55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1109,18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9045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81DE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3048,61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FE56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1331,02</w:t>
            </w:r>
          </w:p>
        </w:tc>
      </w:tr>
      <w:tr w:rsidR="00571132" w14:paraId="79E16861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D7C1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EEDA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СОБОРНА,  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0E5F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1838,74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3A9B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3DCE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D6B1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2206,49</w:t>
            </w:r>
          </w:p>
        </w:tc>
      </w:tr>
      <w:tr w:rsidR="00571132" w14:paraId="2C18E980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E3F2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9CD5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СТАРОКОЗАЦЬКА, 35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7DE2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1608,64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2133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84D1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3872,19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368D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1930,37</w:t>
            </w:r>
          </w:p>
        </w:tc>
      </w:tr>
      <w:tr w:rsidR="00571132" w14:paraId="45D21E05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2A99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0FAB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СТАРОКОЗАЦЬКА, 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032A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3EC2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7C34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4592,72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B413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2295,60</w:t>
            </w:r>
          </w:p>
        </w:tc>
      </w:tr>
      <w:tr w:rsidR="00571132" w14:paraId="02105FE5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6786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54E3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СТАРОКОЗАЦЬКА, 52А/1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7B06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1262,60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6963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D841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3418,02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037F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1515,12</w:t>
            </w:r>
          </w:p>
        </w:tc>
      </w:tr>
      <w:tr w:rsidR="00571132" w14:paraId="0F8A3C4B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B812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6680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СТАРОКОЗАЦЬКА, 52А/2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26BA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1572,02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8B09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BA9A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4169,24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793B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1886,43</w:t>
            </w:r>
          </w:p>
        </w:tc>
      </w:tr>
      <w:tr w:rsidR="00571132" w14:paraId="66789CB5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7C79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0A42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СТАРОКОЗАЦЬКА, 74А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5494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1362,47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8E09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DCD3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3632,85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76DB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1634,97</w:t>
            </w:r>
          </w:p>
        </w:tc>
      </w:tr>
      <w:tr w:rsidR="00571132" w14:paraId="30554C7F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0B16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3B57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ТИВЕРСЬКИЙ,  2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523F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1458,73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0B79C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0941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E2DF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1750,48</w:t>
            </w:r>
          </w:p>
        </w:tc>
      </w:tr>
      <w:tr w:rsidR="00571132" w14:paraId="1B8F819C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464B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8FD1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ТРОЇЦЬКА, 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1A30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1996,14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76D2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3124,35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33A7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4178,24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619F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2395,37</w:t>
            </w:r>
          </w:p>
        </w:tc>
      </w:tr>
      <w:tr w:rsidR="00571132" w14:paraId="0A38221C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C05D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86CC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ТРОЇЦЬКА, 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21BA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1933,71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CD90C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F7E8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4358,89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49F8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2320,45</w:t>
            </w:r>
          </w:p>
        </w:tc>
      </w:tr>
      <w:tr w:rsidR="00571132" w14:paraId="0BABE980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1448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E6C9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ТРОЇЦЬКА, 22А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7F71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1230,40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F870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BBE35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3191,88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CC69B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1476,48</w:t>
            </w:r>
          </w:p>
        </w:tc>
      </w:tr>
      <w:tr w:rsidR="00571132" w14:paraId="1590D8D3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9880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434A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УШИНСЬКОГО,  8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5E3A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2255,98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A915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5DDF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12B2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2707,18</w:t>
            </w:r>
          </w:p>
        </w:tc>
      </w:tr>
      <w:tr w:rsidR="00571132" w14:paraId="0247AF3B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ADAD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A28D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ЧЕРНИШЕВСЬКОГО, 35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CDB7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2045,02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CB354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89FD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7E9F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2454,02</w:t>
            </w:r>
          </w:p>
        </w:tc>
      </w:tr>
      <w:tr w:rsidR="00571132" w14:paraId="7CCBDDC6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A1FA3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C625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ШМІДТА, 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5A84D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1495,32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6862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6AEB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95CD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1794,39</w:t>
            </w:r>
          </w:p>
        </w:tc>
      </w:tr>
      <w:tr w:rsidR="00571132" w14:paraId="693663D0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7F92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F241E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ШОЛОМ АЛЕЙХЕМ, 4А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95489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1613,55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CEA1A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2872,30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DDB96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DD1CC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1936,26</w:t>
            </w:r>
          </w:p>
        </w:tc>
      </w:tr>
      <w:tr w:rsidR="00571132" w14:paraId="29396831" w14:textId="77777777" w:rsidTr="00571132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00132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AC4D1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ЩЕПКІНА,  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D3DBF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1870,37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6AE98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4A767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6FE60" w14:textId="77777777" w:rsidR="00571132" w:rsidRDefault="0057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2244,45</w:t>
            </w:r>
          </w:p>
        </w:tc>
      </w:tr>
    </w:tbl>
    <w:p w14:paraId="1A5EE5F0" w14:textId="77777777" w:rsidR="00571132" w:rsidRDefault="00571132" w:rsidP="0057113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A7DC43" w14:textId="77777777" w:rsidR="00571132" w:rsidRDefault="00571132" w:rsidP="00571132">
      <w:pPr>
        <w:tabs>
          <w:tab w:val="left" w:pos="4395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FFA0422" w14:textId="77777777" w:rsidR="00571132" w:rsidRPr="005157E8" w:rsidRDefault="00571132" w:rsidP="006C0B77">
      <w:pPr>
        <w:spacing w:after="0"/>
        <w:ind w:firstLine="709"/>
        <w:jc w:val="both"/>
        <w:rPr>
          <w:lang w:val="uk-UA"/>
        </w:rPr>
      </w:pPr>
    </w:p>
    <w:sectPr w:rsidR="00571132" w:rsidRPr="005157E8" w:rsidSect="006277AA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7E8"/>
    <w:rsid w:val="00005E71"/>
    <w:rsid w:val="004C6AEA"/>
    <w:rsid w:val="005157E8"/>
    <w:rsid w:val="00571132"/>
    <w:rsid w:val="005C7D16"/>
    <w:rsid w:val="006277AA"/>
    <w:rsid w:val="00664CC3"/>
    <w:rsid w:val="00682C7A"/>
    <w:rsid w:val="006C0B77"/>
    <w:rsid w:val="008242FF"/>
    <w:rsid w:val="00853F2F"/>
    <w:rsid w:val="00870751"/>
    <w:rsid w:val="00903D73"/>
    <w:rsid w:val="00922C48"/>
    <w:rsid w:val="009355FD"/>
    <w:rsid w:val="009F6CDA"/>
    <w:rsid w:val="00A748A7"/>
    <w:rsid w:val="00B915B7"/>
    <w:rsid w:val="00BF5DD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B24D"/>
  <w15:docId w15:val="{9B4C3132-B13F-4D6D-BC8A-48FC98DB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7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03D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3D73"/>
    <w:pPr>
      <w:widowControl w:val="0"/>
      <w:shd w:val="clear" w:color="auto" w:fill="FFFFFF"/>
      <w:spacing w:before="120" w:after="120" w:line="350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">
    <w:name w:val="Абзац списка1"/>
    <w:basedOn w:val="a"/>
    <w:uiPriority w:val="99"/>
    <w:rsid w:val="00903D7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semiHidden/>
    <w:unhideWhenUsed/>
    <w:rsid w:val="00903D7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664CC3"/>
    <w:rPr>
      <w:color w:val="0563C1" w:themeColor="hyperlink"/>
      <w:u w:val="single"/>
    </w:rPr>
  </w:style>
  <w:style w:type="paragraph" w:customStyle="1" w:styleId="rvps2">
    <w:name w:val="rvps2"/>
    <w:basedOn w:val="a"/>
    <w:rsid w:val="0066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19-19" TargetMode="External"/><Relationship Id="rId4" Type="http://schemas.openxmlformats.org/officeDocument/2006/relationships/hyperlink" Target="https://zakon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PEO_NACH</dc:creator>
  <cp:keywords/>
  <dc:description/>
  <cp:lastModifiedBy>PEO_NACH</cp:lastModifiedBy>
  <cp:revision>7</cp:revision>
  <dcterms:created xsi:type="dcterms:W3CDTF">2022-02-14T08:37:00Z</dcterms:created>
  <dcterms:modified xsi:type="dcterms:W3CDTF">2022-02-14T10:59:00Z</dcterms:modified>
</cp:coreProperties>
</file>